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9903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rPr>
          <w:rFonts w:ascii="Calibri" w:hAnsi="Calibri"/>
          <w:b w:val="1"/>
          <w:sz w:val="32"/>
        </w:rPr>
      </w:pPr>
      <w:r>
        <w:rPr>
          <w:rFonts w:ascii="Calibri" w:hAnsi="Calibri"/>
          <w:b w:val="1"/>
          <w:sz w:val="32"/>
        </w:rPr>
        <w:t>I.Αξιολόγηση Επιχείρησης</w:t>
      </w:r>
    </w:p>
    <w:p/>
    <w:tbl>
      <w:tblPr>
        <w:tblW w:w="0" w:type="auto"/>
        <w:tblInd w:w="0" w:type="dxa"/>
        <w:tblLayout w:type="autofit"/>
        <w:tblCellMar>
          <w:left w:w="0" w:type="dxa"/>
          <w:right w:w="0" w:type="dxa"/>
        </w:tblCellMar>
      </w:tblPr>
      <w:tblGrid/>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tcPr>
          <w:p>
            <w:pPr>
              <w:spacing w:lineRule="auto" w:line="240" w:after="0"/>
              <w:rPr>
                <w:rFonts w:ascii="Calibri" w:hAnsi="Calibri"/>
                <w:sz w:val="18"/>
              </w:rPr>
            </w:pP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ΕΚΘΕΣΗ ΑΞΙΟΛΟΓΗΣΗΣ ΧΡΗΣΗΣ</w:t>
            </w: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rPr>
            </w:pPr>
            <w:r>
              <w:rPr>
                <w:rFonts w:ascii="Calibri" w:hAnsi="Calibri"/>
                <w:b w:val="1"/>
                <w:color w:val="000000"/>
              </w:rPr>
              <w:t>Έτος : 2023</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0650" w:type="dxa"/>
            <w:gridSpan w:val="5"/>
            <w:shd w:val="clear" w:color="auto" w:fill="FFFFFF"/>
            <w:vAlign w:val="center"/>
          </w:tcPr>
          <w:p>
            <w:pPr>
              <w:spacing w:lineRule="auto" w:line="240" w:after="0"/>
              <w:rPr>
                <w:rFonts w:ascii="Calibri" w:hAnsi="Calibri"/>
                <w:b w:val="1"/>
                <w:color w:val="0000FF"/>
                <w:sz w:val="28"/>
                <w:u w:val="single"/>
              </w:rPr>
            </w:pPr>
            <w:r>
              <w:rPr>
                <w:rFonts w:ascii="Calibri" w:hAnsi="Calibri"/>
                <w:b w:val="1"/>
                <w:color w:val="0000FF"/>
                <w:sz w:val="28"/>
                <w:u w:val="single"/>
              </w:rPr>
              <w:t>Α. ΑΠΟΤΕΛΕΣΜΑΤΑ – ΚΑΘΑΡΟ ΕΙΣΟΔΗΜΑ</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w:t>
              <w:tab/>
              <w:t>ΠΩΛΗΣΕΙΣ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Πωλήσεις της χρήσης που μελετάμε ανήλθαν σε  362.778,82 € και ΑΥΞΗΘΗΚΑΝ κατά   37.323,33€, Ποσοστό:    11,47%</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Η μεταβολή πωλήσεων του Κλάδου είναι:    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Η μεταβολή πωλήσεων της επιχείρησης είναι:    11,47% μεγαλύτερη</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ΕΙΣΠΡΑΞΕΙΣ ΠΩΛΗΣΕΩΝ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Εισπράξεις από την κανονική δραστηριότητα της επιχείρησης διαμορφώθηκαν σε   362.778,82€.  Οι εισπράξεις, για υπόλοιπα πελατών που δημιουργήθηκαν μέσα στην τρέχουσα περίοδο, ήταν  362.778,82€ ποσοστό   100,00%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εισπράξεις των πωλήσεων από την κανονική δραστηριότητα της Επιχείρησης σε σχέση με τον κλάδο είναι   0,00% μεγαλύτερες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II. ΚΟΣΤΟΣ ΠΩΛΗΘΕΝΤΩΝ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1. Το Κόστος Πωληθέντων (με ενσωματωμένες Αποσβέσεις)της χρήσης αποτελεί το   70,17% του Κύκλου Εργασιών και ΜΕΙΩΘΗΚΕ σε σχέση με την προηγούμενη χρήση κατά   9,32Ποσοστιαίες μονάδες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2. Το Κόστος Πωληθέντων (χωρίς Αποσβέσεις)της χρήσης αποτελεί το   70,17% του Κύκλου Εργασιών και ΜΕΙΩΘΗΚΕ σε σχέση με την προηγούμενη χρήση κατά   9,32Ποσοστιαίες μονάδες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Το Κόστος Πωληθέντων της Επιχείρησης συμμετέχοντας με   70,17% στις πωλήσεις της, παρουσιάζει απόκλιση   0,00% από τον κλάδο.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III. ΜΙΚΤΑ ΑΠΟΤΕΛΕΣΜΑΤΑ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μικτά αποτελέσματα της χρήσης ανήλθαν σε   108.228,52 € ήτοι   29,83%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περίοδο, το ποσοστό ΑΥΞΗΘΗΚΕ κατά   9,32 ποσοστιαίες μονάδες  και η αύξηση προήλθε από αύξηση των πωλήσεων και μείωση του κόστους πωληθέντων ως ποσοστό επί των πωλήσεων</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μικτά αποτελέσματα του κλάδου είναι το   0,00% του Κύκλου εργασιών και είναι κατά   100,00% λιγότερα από της επιχείρησης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IV. ΑΛΛΑ ΕΣΟΔΑ ΕΚΜΕΤΑΛΛΕΥΣΕΩΣ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άλλα έσοδα Εκμετάλλευσης ανήλθαν σε  61,30€</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από την προηγούμενη χρήση κατά   37,32€</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V. ΕΞΟΔΑ ΛΕΙΤΟΥΡΓΙΑΣ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έξοδα Διοίκησης και Διάθεσης της χρήσης ανήλθαν σε  7.234,91€ ήτοι   1,99% του Κύκλου Εργασιών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1. Σε σχέση με την προηγούμενη χρήση σε ΑΞΙΕΣ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κατά   7.234,91 ήτοι   0,00%</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2. Σε σχέση με την προηγούμενη χρήση σε ποσοστό % των Πωλήσεων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κατά   1,99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έξοδα λειτουργίας του κλάδου είναι το   0,00% του Κύκλου εργασιών η συμμετοχή δε των εξόδων λειτουργίας της επιχείρησης στο κύκλο εργασιών της σε σχέση με τον κλάδο είναι μικρότερη κατά   98,01%</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 xml:space="preserve">VI.ΚΕΡΔΗ ΠΡΟ ΤΟΚΩΝ, ΦΟΡΩΝ, ΑΠΟΣΒΕΣΕΩΝ (ΚΠΤΦΑ)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Φόρων και Αποσβέσεων ανήλθαν σε  101.054,91€ ήτοι   27,86% του Κύκλου Εργασιών. Σε σχέση δε με την προηγούμενη χρήση:   ΜΕΙΩΘΗΚΑΝ κατά   13,73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Κέρδη προ Τόκων, Φόρων και Αποσβέσεων του κλάδου είναι το   0,00% του Κύκλου εργασιών της επιχείρησης δε σε σχέση με τον κλάδο είναι κατά   0,00% περισσότερα</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 xml:space="preserve">VII.ΚΕΡΔΗ ΠΡΟ ΤΟΚΩΝ, ΦΟΡΩΝ (ΚΠΤΦ)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και Φόρων ανήλθαν σε 101.054,91€ ήτοι   27,86% του Κύκλου Εργασιών. Σε σχέση δε με την προηγούμενη χρήση:   ΜΕΙΩΘΗΚΑΝ κατά   13,73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Κέρδη προ Τόκων και Φόρων του κλάδου είναι το   0,00% του Κύκλου εργασιών της επιχείρησης δε σε σχέση με τον κλάδο είναι κατά   0,00% περισσότερα</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VIII.ΛΕΙΤΟΥΡΓΙΚΑ ΚΕΡΔΗ ΠΡΟ ΤΟΚΩΝ, ΦΟΡΩΝ, ΑΠΟΣΒΕΣΕΩΝ (ΛΚΠΤΦΑ)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Φόρων και Αποσβέσεων ανήλθαν σε  101.054,91€ ήτοι   27,86% του Κύκλου Εργασιών. Σε σχέση δε με την προηγούμενη χρήση:   ΑΥΞΗΘΗΚΑΝ κατά   7,34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Κέρδη προ Τόκων, Φόρων και Αποσβέσεων του κλάδου είναι το   0,00% του Κύκλου εργασιών της επιχείρησης δε σε σχέση με τον κλάδο είναι κατά   0,00% περισσότερα</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IX.ΛΕΙΤΟΥΡΓΙΚΑ ΚΕΡΔΗ ΠΡΟ ΤΟΚΩΝ, ΦΟΡΩΝ (ΛΚΠΤΦ)</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και Φόρων ανήλθαν σε 101.054,91€ ήτοι   27,86% του Κύκλου Εργασιών. Σε σχέση δε με την προηγούμενη χρήση:   ΑΥΞΗΘΗΚΑΝ κατά   7,34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Κέρδη προ Τόκων και Φόρων του κλάδου είναι το   0,00% του Κύκλου εργασιών της επιχείρησης δε σε σχέση με τον κλάδο είναι κατά   0,00% περισσότερα</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 ΧΡΗΜΑΤΟΟΙΚΟΝΟΜΙΚΑ ΕΞΟΔΑ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Χρηματοοικονομικά έξοδα στην μελετώμενη χρήση ανήλθαν σε  0,00€ ήτοι   0,00% του Κύκλου Εργασιών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1. Σε σχέση με την προηγούμενη χρήση σε ΑΞΙΕΣ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Παρέμειναν τα ΙΔΙΟΙ</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2. Σε σχέση με την προηγούμενη χρήση σε ποσοστό % των Πωλήσεων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Είναι το ΙΔΙΟ</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χρεωστικοί τόκοι και τα συναφή έξοδα κλάδου είναι το   0,00% του Κύκλου εργασιών Η συμμετοχή των χρεωστικών τόκων της επιχείρησης στο κύκλο εργασιών της σε σχέση με τον κλάδο είναι μικρότερη κατά   100,00%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 ΔΙΑΦΟΡΑ ΑΛΛΑ ΕΣΟΔΑ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διάφορα άλλα έσοδα ανήλθαν σε  0,00€ και ΜΕΙΩΘΗΚΑΝ από την προηγούμενη χρήση κατά   68.552,29€</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XII. ΚΑΘΑΡΑ ΑΠΟΤΕΛΕΣΜΑΤΑ ΧΡΗΣΕΩΣ (προ φόρων)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αποτελέσματα προ φόρων ανήλθαν σε  101.054,91€ ήτοι   27,86% του Κύκλου Εργασιών. Σε σχέση δε με την προηγούμενη χρήση: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ΜΕΙΩΘΗΚΑΝ κατά   13,73 Ποσοστιαίες μονάδες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αποτελέσματα προ φόρων του κλάδου είναι το   0,00% του Κύκλου εργασιών Τα αποτελέσματα προ φόρων % του κύκλου εργασιών της επιχείρησης σε σχέση με τον κλάδο είναι μικρότερη κατά   72,14%</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XIII. ΚΑΘΑΡΑ ΚΕΡΔΗ ΧΡΗΣΕΩΣ ΠΡΟΣ ΔΙΑΘΕΣΗ</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καθαρά κέρδη προς διάθεση της χρήσης ανήλθαν σε  92.027,45€. Αποτελεί δε το   25,37% των πωλήσεων της τρέχουσας χρήσης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Το Καθαρό Εισόδημα Μειώθηκε από την προηγούμενη χρήση κατά   41.269,35€ Ποσοστό   30,96%</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καθαρά κέρδη προς διάθεση της χρήσης του κλάδου αποτελούν το   0,00% του Κύκλου εργασιών Τα καθαρά κέρδη προς διάθεση % του κύκλου εργασιών της επιχείρησης σε σχέση με τον κλάδο είναι μικρότερη κατά   74,63%</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0650" w:type="dxa"/>
            <w:gridSpan w:val="5"/>
            <w:shd w:val="clear" w:color="auto" w:fill="FFFFFF"/>
            <w:vAlign w:val="center"/>
          </w:tcPr>
          <w:p>
            <w:pPr>
              <w:spacing w:lineRule="auto" w:line="240" w:after="0"/>
              <w:rPr>
                <w:rFonts w:ascii="Calibri" w:hAnsi="Calibri"/>
                <w:b w:val="1"/>
                <w:color w:val="0000FF"/>
                <w:sz w:val="28"/>
                <w:u w:val="single"/>
              </w:rPr>
            </w:pPr>
            <w:r>
              <w:rPr>
                <w:rFonts w:ascii="Calibri" w:hAnsi="Calibri"/>
                <w:b w:val="1"/>
                <w:color w:val="0000FF"/>
                <w:sz w:val="28"/>
                <w:u w:val="single"/>
              </w:rPr>
              <w:t xml:space="preserve">Β. ΒΡΑΧΥΠΡΟΘΕΣΜΑ ΣΤΟΙΧΕΙΑ ΧΡΗΣΗΣ </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Β1. ΣΤΟΙΧΕΙΑ ΚΥΚΛΟΦΟΡΟΥΝΤΟΣ ΕΝΕΡΓΗΤΙΚΟΥ</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Το κυκλοφορούν ενεργητικό στο τέλος της μελετώμενης χρήσης ανέρχεται σε  936.509,14€</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Αποτελεί το   258,15% του κύκλου εργασιών, ενώ στην προηγούμενη χρήση αποτελούσε το   283,02% του κύκλου εργασιών.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Το κυκλοφορούν ενεργητικό του κλάδου αποτελεί το   0,00% του Κύκλου εργασιών Το κυκλοφορούν ενεργητικό % του κύκλου εργασιών της επιχείρησης σε σχέση με τον κλάδο είναι μεγαλύτερη κατά   158,15%</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1. ΑΠΑΙΤΗΣΕΙΣ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Απαιτήσεις της μελετώμενης χρήσης ανέρχονται σε  714.583,93€.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76,30% του Κυκλοφορούντος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196,98%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Εισπράττονται σε  698,27ημέρες,  ενώ την προηγούμενη χρήση σε  701,77 ημέρες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Εισπράξεις των πωλήσεων από την κανονική δραστηριότητα της επιχείρησης διαμορφώθηκαν σε   362.778,82€</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απαιτήσεις για στον κλάδο εισπράττονται σε  0,00ημέρες ενώ η επιχείρηση εισπράττει σε  698,27 ημέρες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Απαιτήσεις του κλάδου αποτελούν το   0,00% του Κύκλου εργασιών ενώ της επιχείρησης που είναι το   196,98% του κύκλου εργασιών της σε σχέση με τον κλάδο είναι μεγαλύτερη κατά   96,98%</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απαιτήσεις αυξήθηκαν κατά   6,11% ενώ οι πωλήσεις αυξήθηκαν   11,47%</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2. ΑΠΟΘΕΜΑΤΑ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αποθέματα της μελετώμενης χρήσης ανέρχονται σε  0,00€.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του Κυκλοφορούντος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ανακυκλώνει τα αποθέματα της κάθε  0,00Ημέρες,   ενώ στην προηγούμενη χρήση ανακύκλωνε κάθε  0,00 ημέρες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αποθέματα παρέμειναν αμετάβλητα ενώ οι πωλήσεις αυξήθηκαν   11,47%</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αποθέματα του κλάδου αποτελούν το   0,00% του Κύκλου εργασιών,  ενώ της επιχείρησης που είναι το   0,00% του κύκλου εργασιών της σε σχέση με τον κλάδο είναι μικρότερη κατά   100,00%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 κλάδος ανακυκλώνει τα αποθέματα κάθε  0,00 ημέρες ενώ Η επιχείρηση ανακυκλώνει τα αποθέματα της κάθε  0,00 ημέρες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3. ΧΡΗΜΑΤΟΟΙΚΟΝΟΜΙΚΑ ΣΤΟΙΧΕΙΑ ΚΥΚΛΟΦΟΡΟΥΝΤΟΣ ΕΝΕΡΓΗΤΙΚΟΥ</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κυκλοφορούντα χρηματοοικονομικά στοιχεία του ενεργητικού της μελετώμενης χρήσης ανέρχονται σε  936.509,14€.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100,00% του Κυκλοφορούντος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258,15%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χρήση Αυξήθηκαν κατά   1,67%</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λοιπά κυκλοφορούντα χρηματοοικονομικά στοιχεία του ενεργητικού του κλάδου αποτελούν το   0,00% του Κύκλου εργασιών ενώ της επιχείρησης που αποτελούν το   258,15% του κύκλου εργασιών της σε σχέση με τον κλάδο είναι μεγαλύτερη κατά   158,15%</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4. ΔΙΑΘΕΣΙΜΑ ΚΑΙ ΙΣΟΔΥΝΑΜΑ ΔΙΑΘΕΣΙΜΩΝ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Διαθέσιμα και ισοδύναμα αυτών της μελετώμενης χρήσης ανέρχονται σε  31.626,85€.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3,38% του Κυκλοφορούντος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8,72%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χρήση Μειώθηκαν κατά   61,93%</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Διαθέσιμα και ισοδύναμα αυτών του κλάδου αποτελούν το   0,00% του Κύκλου εργασιών,  ενώ της επιχείρησης που αποτελούν το   8,72% του κύκλου εργασιών της σε σχέση με τον κλάδο είναι μικρότερη κατά   91,28%</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5. ΥΠΟΛΟΙΠΑ ΣΤΟΙΧΕΙΑ ΚΥΚΛΟΦΟΡΟΥΝΤΟΣ ΕΝΕΡΓΗΤΙΚΟΥ</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υπόλοιπα στοιχεία του κυκλοφορούντος ενεργητικού της μελετώμενης χρήσης ανέρχονται σε  190.298,36€.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20,32% του Κυκλοφορούντος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52,46% του Κύκλου Εργασιών.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χρήση Αυξήθηκαν κατά   15,63%</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υπόλοιπα στοιχεία του κυκλοφορούντος ενεργητικού του κλάδου αποτελούν το $s% του Κύκλου εργασιών,  ενώ της επιχείρησης που αποτελούν το   0,00% του κύκλου εργασιών της σε σχέση με τον κλάδο είναι μικρότερη κατά   52,46%</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Β2. ΣΤΟΙΧΕΙΑ ΒΡΑΧΥΠΡΟΘΕΣΜΩΝ ΥΠΟΧΡΕΩΣΕΩΝ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βραχυπρόθεσμες υποχρεώσεις στο τέλος της μελετώμενης χρήσης ανέρχονται σε  493.226,27€</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135,96% του κύκλου εργασιών, ενώ στην προηγούμενη χρήση αποτελούσαν το   120,61% του κύκλου εργασιών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Μέσα στην χρήση οι βραχυπρόθεσμες πιστώσεις προς την επιχείρηση ανανεώνονταν κάθε  635,04 ημέρες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βραχυπρόθεσμες υποχρεώσεις του κλάδου αποτελούν το   0,00% του Κύκλου εργασιών,  ενώ της επιχείρησης που είναι το   135,96% του κύκλου εργασιών της σε σχέση με τον κλάδο είναι μεγαλύτερη κατά   35,96%</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βραχυπρόθεσμες υποχρεώσεις του κλάδου ανανεώνονται κάθε  0,00 ημέρες ενώ της επιχείρησης ανανεώνονται κάθε  0,57 ημέρες</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1. ΠΡΟΜΗΘΕΥΤΕΣ ΚΑΙ ΛΟΙΠΟΙ ΠΛΗΡΩΤΕΟΙ ΒΡΑΧΥΠΡΟΘΕΣΜΟΙ ΛΟΓΑΡΙΑΣΜΟΙ</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προμηθευτές και οι λοιποί πληρωτέοι λογαριασμοί βραχυπρόθεσμοι στο τέλος της μελετώμενης χρήσης ανέρχονται σε  0,00€</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των βραχυπροθέσμων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του Κύκλου Εργασιών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Αγορές της χρήσης ανήλθαν σε  254.550,30€.  Αποτελούν το   70,17% των Πωλήσεων και το   100,00% του Κόστους Πωληθέντων (χωρίς Αποσβέσεις)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Πληρωμές των αγορών για την κανονική δραστηριότητα της επιχείρησης ανήλθαν σε  254.550,30€</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Μέσα στην χρήση πληρώθηκαν για αγορές της κανονικής δραστηριότητας   254.550,30€ ποσοστό   100,00% των αγορών.  Εξοφλήθηκαν όλα τα υπόλοιπα προμηθευτών και λοιπών βραχυπρόθεσμων υποχρεώσεων τέλους προηγούμενης χρήσης </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προμηθευτές και οι λοιποί πληρωτέοι λογαριασμοί βραχυπρόθεσμοι παρέμειναν αμετάβλητοι ενώ οι πωλήσεις αυξήθηκαν   11,47%Φαίνεται ότι οι προμηθευτές της επιχείρησης χρηματοδότησαν την αύξηση του κύκλου εργασιών.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προμηθευτές και οι λοιποί πληρωτέοι λογαριασμοί βραχυπρόθεσμοι του κλάδου αποτελούν το   0,00% του Κύκλου εργασιών,  ενώ της επιχείρησης που αποτελούν το   0,00% του κύκλου εργασιών της σε σχέση με τον κλάδο είναι μικρότερη κατά   100,00%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2. ΓΡΑΜΜΑΤΙΑ ΠΛΗΡΩΤΕΑ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Γραμμάτια πληρωτέα της μελετώμενης χρήσης ανέρχονται σε  0,00€</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των βραχυπροθέσμων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0,00% του Κύκλου Εργασιών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χρήση: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Παρέμειναν αμετάβλητα</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Τα Γραμμάτια πληρωτέα του κλάδου αποτελούν το   0,00% του Κύκλου εργασιών,  ενώ της επιχείρησης που αποτελούν το   0,00% του κύκλου εργασιών της σε σχέση με τον κλάδο είναι μικρότερη κατά   100,00%</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3. ΕΝΤΟΚΑ ΔΑΝΕΙΑ ΒΡΑΧΥΠΡΟΘΕΣΜΑ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βραχυπρόθεσμος τραπεζικός δανεισμός της μελετώμενης χρήσης ανέρχονται σε  206.248,27€</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41,82% των βραχυπροθέσμων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56,85% του Κύκλου Εργασιών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βραχυπρόθεσμος τραπεζικός δανεισμός μειώθηκε κατά   16,80% ενώ οι πωλήσεις αυξήθηκαν   11,47%Αυτό σημαίνει ότι μέσα στην χρήση η βραχυπρόθεσμη τραπεζική χρηματοδότηση της επιχείρησης μειώθηκε καίτοι αυξήθηκε ο κύκλος εργασιών της.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 βραχυπρόθεσμος τραπεζικός δανεισμός του κλάδου αποτελούν το   0,00% του Κύκλου εργασιών,  ενώ της επιχείρησης που αποτελούν το   56,85% του κύκλου εργασιών της σε σχέση με τον κλάδο είναι μικρότερη κατά   43,15%</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4. ΛΟΙΠΕΣ ΒΡΑΧΥΠΡΟΘΕΣΜΕΣ ΥΠΟΧΡΕΩΣΕΙΣ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(πλην Προμηθευτών και Τραπεζικών υποχρεώσεων)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λοιπες βραχυπρόθεσμες υποχρεώσεις της μελετώμενης χρήσης ανέρχονται σε  286.978,00€</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58,18% των βραχυπροθέσμων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Αποτελούν το   79,11% του Κύκλου Εργασιών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χρήση:  Αυξήθηκαν κατά   98,43%</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λοιπες βραχυπρόθεσμες υποχρεώσεις του κλάδου αποτελούν το   0,00% του Κύκλου εργασιών,  ενώ της επιχείρησης που αποτελούν το   79,11% του κύκλου εργασιών της σε σχέση με τον κλάδο είναι μικρότερη κατά   20,89%</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0650" w:type="dxa"/>
            <w:gridSpan w:val="5"/>
            <w:shd w:val="clear" w:color="auto" w:fill="FFFFFF"/>
            <w:vAlign w:val="center"/>
          </w:tcPr>
          <w:p>
            <w:pPr>
              <w:spacing w:lineRule="auto" w:line="240" w:after="0"/>
              <w:rPr>
                <w:rFonts w:ascii="Calibri" w:hAnsi="Calibri"/>
                <w:b w:val="1"/>
                <w:color w:val="0000FF"/>
                <w:sz w:val="28"/>
                <w:u w:val="single"/>
              </w:rPr>
            </w:pPr>
            <w:r>
              <w:rPr>
                <w:rFonts w:ascii="Calibri" w:hAnsi="Calibri"/>
                <w:b w:val="1"/>
                <w:color w:val="0000FF"/>
                <w:sz w:val="28"/>
                <w:u w:val="single"/>
              </w:rPr>
              <w:t>Γ. ΜΑΚΡΟΠΡΟΘΕΣΜΑ ΣΤΟΙΧΕΙΑ</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1. ΠΑΓΙΟ ΕΝΕΡΓΗΤΙΚΟ</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Στην μελετώμενη χρήση η καθαρή αξία του πάγιου ενεργητικού είναι  1.574.637,58€ και αποτελεί το   62,71% του ενεργητικού, ενώ στην προηγούμενη χρήση αποτελούσε το   62,62% του ενεργητικού</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σε σχέση με την προηγούμενη χρήση αύξησε τα πάγια της κατά   31.484,10€, ποσοστό   2,04%</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Το πάγιο ενεργητικό του κλάδου αποτελεί το   0,00% του ενεργητικού,  ενώ της επιχείρησης που αποτελούν το   62,71% του ενεργητικού της σε σχέση με τον κλάδο είναι μικρότερη κατά   37,29%</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1. 1. ΑΫΛΑ ΠΕΡΙΟΥΣΙΑΚΑ ΣΤΟΙΧΕΙΑ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άυλα περιουσιακά στοιχεία της μελετώμενης χρήσης είναι  324.622,97€ και αποτελoύν το   20,62% του παγίου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Μειώθηκαν από την προηγούμενη χρήση κατά   110.387,00, ποσοστό   25,38%</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1. 2 ΕΝΣΩΜΑΤΕΣ ΑΚΙΝΗΤΟΠΟΙΗΣΕΙΣ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ενσώματες ακινητοποιήσεις της μελετώμενης χρήσης είναι  1.985,24€ και αποτελoύν το   0,13% του παγίου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Αυξήθηκαν από την προηγούμενη χρήση κατά   1.653,04, ποσοστό   497,60%</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1. 3 ΕΠΕΝΔΥΣΕΙΣ ΣΕ ΘΥΓΑΤΡΙΚΕΣ ΚΑΙ ΣΥΓΓΕΝΕΙΣ ΕΤΑΙΡΙΕΣ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επενδύσεις σε θυγατρικές και συγγενείς εταιρείες  21.566,67€ και αποτελoύν το   1,37% του παγίου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Μειώθηκαν από την προηγούμενη χρήση κατά   0,00, ποσοστό   0,00%</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1. 4 ΥΠΟΛΟΙΠΑ ΣΤΟΙΧΕΙΑ ΠΑΓΙΟΥ ΕΝΕΡΓΗΤΙΚΟΥ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υπόλοιπα στοιχεία του παγίου ενεργητικού στην μελετώμενη χρήση είναι  1.226.462,70€ και αποτελoύν το   77,89% του παγίου ενεργητικού.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Αυξήθηκαν από την προηγούμενη χρήση κατά   140.218,06, ποσοστό   12,91%</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2. ΙΔΙΑ ΚΕΦΑΛΑΙΑ</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ίδια κεφάλαια της επιχείρησης στην μελετώμενη χρήση είναι  1.053.009,56€ και αποτελoύν το   41,93% των συνολικών κεφαλαίων.  </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Αυξήθηκαν από την προηγούμενη χρήση κατά   18.005,67€, ποσοστό   1,74% και η αύξηση οφείλεται</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47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3. ΜΑΚΡΟΠΡΟΘΕΣΜΕΣ ΥΠΟΧΡΕΩΣΕΙΣ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μακροπρόθεσμες υποχρεώσεις της μελετώμενης χρήσης είναι  962.134,63€ και αποτελούν το   38,31% του παθητικού και το   66,11% των συνολικών υποχρεώσεων, ενώ στην προηγούμενη χρήση οι μακροπρόθεσμες υποχρεώσεις αποτελούσαν το   41,96% του παθητικού και το   72,48% των συνολικών υποχρεώσεων.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μακροπρόθεσμες υποχρεώσεις του κλάδου αποτελούν το   0,00% των συνολικών υποχρεώσεων,  ενώ της επιχείρησης που αποτελούν το   66,11% των συνολικών υποχρεώσεων της σε σχέση με τον κλάδο είναι μικρότερη κατά   33,89%</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3. 1 ΕΝΤΟΚΑ ΔΑΝΕΙΑ ΜΑΚΡΟΠΡΟΘΕΣΜΑ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έντοκος μακροπρόθεσμος δανεισμός είναι  155.113,89€ και αποτελεί το   16,12% των συνολικών μακροπροθέσμων υποχρεώσεων ενώ στην προηγούμενη χρήση αποτελούσε το   15,00% των συνολικών μακροπροθέσμων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έντοκος μακροπρόθεσμος δανεισμός της επιχείρησης σε σχέση με την προηγούμενη χρήση παρέμεινε αμετάβλητος </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 έντοκος μακροπρόθεσμος δανεισμός του κλάδου αποτελούν το   0,00% των συνολικών μακροπροθέσμων υποχρεώσεων,  ενώ της επιχείρησης που αποτελούν το   16,12% των συνολικών μακροπροθέσμων υποχρεώσεων της σε σχέση με τον κλάδο είναι μικρότερη κατά   83,88%</w:t>
            </w:r>
          </w:p>
        </w:tc>
      </w:tr>
      <w:tr>
        <w:trPr>
          <w:jc w:val="center"/>
        </w:trPr>
        <w:tc>
          <w:tcPr>
            <w:tcW w:w="10830" w:type="dxa"/>
            <w:gridSpan w:val="6"/>
            <w:tcBorders>
              <w:top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290"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 xml:space="preserve">3. 2 ΥΠΟΛΟΙΠΕΣ ΜΑΚΡΟΠΡΟΘΕΣΜΕΣ ΥΠΟΧΡΕΩΣΕΙΣ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υπόλοιπες μακροπρόθεσμες υποχρεώσεις είναι  807.020,74€ και αποτελεί το   83,88% των συνολικών μακροπροθέσμων υποχρεώσεων ενώ στην προηγούμενη χρήση αποτελούσε το   85,00% των συνολικών μακροπροθέσμων υποχρεώσεων.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011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υπόλοιπες μακροπρόθεσμες υποχρεώσεις της επιχείρησης σε σχέση με την προηγούμενη χρήση Μειώθηκε κατά   71.823,56€, ποσοστό   8,17%</w:t>
            </w:r>
          </w:p>
        </w:tc>
      </w:tr>
      <w:tr>
        <w:trPr>
          <w:jc w:val="center"/>
        </w:trPr>
        <w:tc>
          <w:tcPr>
            <w:tcW w:w="10830" w:type="dxa"/>
            <w:gridSpan w:val="6"/>
            <w:tcBorders>
              <w:top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i w:val="1"/>
                <w:color w:val="000000"/>
                <w:sz w:val="20"/>
              </w:rPr>
            </w:pPr>
            <w:r>
              <w:rPr>
                <w:rFonts w:ascii="Calibri" w:hAnsi="Calibri"/>
                <w:i w:val="1"/>
                <w:color w:val="000000"/>
                <w:sz w:val="20"/>
              </w:rPr>
              <w:t xml:space="preserve">Οι υπόλοιπες μακροπρόθεσμες υποχρεώσεις του κλάδου αποτελούν το   0,00% των συνολικών μακροπροθέσμων υποχρεώσεων,  ενώ της επιχείρησης που αποτελούν το   83,88% των συνολικών μακροπροθέσμων υποχρεώσεων της σε σχέση με τον κλάδο είναι μικρότερη κατά   16,12%</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footerReference xmlns:r="http://schemas.openxmlformats.org/officeDocument/2006/relationships" w:type="default" r:id="RelFtr1"/>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II.Διάγνωση Ισολογισμού</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10290" w:type="dxa"/>
            <w:gridSpan w:val="4"/>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ΔΙΑΓΝΩΣΗ ΙΣΟΛΟΓΙΣΜΟΥ</w:t>
            </w:r>
          </w:p>
        </w:tc>
      </w:tr>
      <w:tr>
        <w:trPr>
          <w:jc w:val="center"/>
        </w:trPr>
        <w:tc>
          <w:tcPr>
            <w:tcW w:w="10290" w:type="dxa"/>
            <w:gridSpan w:val="4"/>
            <w:shd w:val="clear" w:color="auto" w:fill="FFFFFF"/>
            <w:vAlign w:val="center"/>
          </w:tcPr>
          <w:p>
            <w:pPr>
              <w:spacing w:lineRule="auto" w:line="240" w:after="0"/>
              <w:jc w:val="center"/>
              <w:rPr>
                <w:rFonts w:ascii="Calibri" w:hAnsi="Calibri"/>
                <w:b w:val="1"/>
                <w:color w:val="000000"/>
                <w:sz w:val="36"/>
              </w:rPr>
            </w:pPr>
            <w:r>
              <w:rPr>
                <w:rFonts w:ascii="Calibri" w:hAnsi="Calibri"/>
                <w:b w:val="1"/>
                <w:color w:val="000000"/>
                <w:sz w:val="36"/>
              </w:rPr>
              <w:t xml:space="preserve">Εταιρία DEMO COMPANY. Περίοδος:  2023</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0290" w:type="dxa"/>
            <w:gridSpan w:val="4"/>
            <w:shd w:val="clear" w:color="auto" w:fill="FFFFFF"/>
            <w:vAlign w:val="center"/>
          </w:tcPr>
          <w:p>
            <w:pPr>
              <w:spacing w:lineRule="auto" w:line="240" w:after="0"/>
              <w:rPr>
                <w:rFonts w:ascii="Calibri" w:hAnsi="Calibri"/>
                <w:b w:val="1"/>
                <w:color w:val="000000"/>
              </w:rPr>
            </w:pPr>
            <w:r>
              <w:rPr>
                <w:rFonts w:ascii="Calibri" w:hAnsi="Calibri"/>
                <w:b w:val="1"/>
                <w:color w:val="000000"/>
              </w:rPr>
              <w:t>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Γενική 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ρευστότητα της εταιρείας ( 2,10) είναι εξαιρετική. Ικανοποιεί τις αξιώσεις των βραχυπρόθεσμων πιστωτών της χωρίς πρόβλημα. Διατηρεί ευνοϊκή πιστοληπτική διαβάθμιση από τρίτους. Διατηρεί επαρκές κεφάλαιο κίνησης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Αμεση 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άμεση ρευστότητα ( 2,10) της επιχείρησης είναι ικανοποιητική. Φαίνεται να υπάρχει περιθώριο ασφαλείας για τη Διοίκηση, ώστε να είναι σε θέση να αντιμετωπίσει πιθανή ανεπιθύμητη εξέλιξη στη ροή των κεφαλαίων κίνησης. Να ερευνηθεί μήπως υπάρχουν επισφαλείς απαιτήσεις που δύσκολα θα εισπραχθούν.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Δεν υπάρχουν αποθέματα.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Μέση διάρκεια κυκλώματος μετατροπής.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χρόνος που εισπράττονται οι πωλήσεις είναι μεγαλύτερος κατά (-63,2) ημέρες από τον χρόνο που πληρώνονται οι βραχυπρόθεσμες υποχρεώσεις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Χρονική κάλυψη υποχρεώσεων σε μετρητά</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Δεν θα παρουσιαστούν καθυστερήσεις στην ικανοποίηση των υποχρεώσεων της επιχείρησης τις πρώτες 30 μέρες.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Αριθμοδείκτης αμυντικού χρονικού διαστήματος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μπορεί να συνεχίσει τη λειτουργία της για 1295,0 ημέρες χωρίς πρόσθετη χρηματοδότηση κάτω από συνθήκες διακοπής πραγματοποίησης εσόδων.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0290" w:type="dxa"/>
            <w:gridSpan w:val="4"/>
            <w:shd w:val="clear" w:color="auto" w:fill="FFFFFF"/>
            <w:vAlign w:val="center"/>
          </w:tcPr>
          <w:p>
            <w:pPr>
              <w:spacing w:lineRule="auto" w:line="240" w:after="0"/>
              <w:rPr>
                <w:rFonts w:ascii="Calibri" w:hAnsi="Calibri"/>
                <w:b w:val="1"/>
                <w:color w:val="000000"/>
              </w:rPr>
            </w:pPr>
            <w:r>
              <w:rPr>
                <w:rFonts w:ascii="Calibri" w:hAnsi="Calibri"/>
                <w:b w:val="1"/>
                <w:color w:val="000000"/>
              </w:rPr>
              <w:t>Κυκλοφοριακη Ταχύτητα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Κυκλοφοριακη Ταχύτητα απαιτήσεων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Ανυπαρξία κυκλοφοριακής ταχύτητας. (Κυκλοφοριακή Ταχύτητα Απαιτ. = 0,52 )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Μέση Διάρκεια είσπραξης απαιτήσεων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μέση διάρκεια είσπραξης απαιτήσεων ( 698,27 ημέρες) είναι μεγαλύτερη απο 180 ημέρες συνεπάγεται οτι είναι κακή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Κυκλοφοριακή ταχύτητα βραχυπρόθεσμων υποχρεώσεων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Εντός της χρήσης οι πιστώσεις προς την επιχείρηση ανανεώθηκαν 0,6 Φορές.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Μέσος χρόνος παραμονής βραχυπρόθεσμων υποχρεώσεων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εισπράττει τις απαιτήσεις της σε περισσότερες ημέρες από οτι πληρώνει τις βραχυπρόθεσμες υποχρεώσεις της.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Κυκλοφοριακή ταχύτητα αποθεμάτων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Φαίνεται ότι τα αποθέματα παραμένουν για πολύ μεγάλο χρονικό διάστημα στην αποθήκη, χωρίς να ρευστοποιούνται.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Τα αποθέματα παραμένουν στην αποθήκη της επιχείρησης 0,0 ημέρες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Αριθμοδείκτες διαρθρώσεως κεφαλαίων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οικονομικής μόχλευσης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Το κόστος δανεισμού είναι μικρότερο από το ποσοστό απόδοσης επί του συνόλου των περιουσιακών στοιχείων. Η επίδραση των ξένων κεφαλαίων στα κέρδη είναι επωφελής για την επιχείρηση. Η διοίκηση της επιχείρησης έχει περιθώριο να κάνει μεγαλύτερη χρήση οικονομικής μόχλευσης.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Ιδίων κεφαλαίων προς δανειακα κεφάλαια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μέτοχοι έχουν μεγαλύτερη συμμετοχή στην επιχείρηση από ότι οι πιστωτές. Οι πιστωτές της επιχείρησης αισθάνονται ασφαλείς.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Καθαρής Θέσης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To 41,93 % της συνολικής επένδυσης σε περιουσιακά στοιχεία έχει χρηματοδοτηθεί από τους μετόχους της επιχείρησης και το υπόλοιπο 58,07 % από τους πιστωτές της. Η θέση της επιχείρησης είναι ασφαλής.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κυκλοφοριακών περουσιακών στοιχείων (Κυκλοφορούν ενεργητικό)</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Κυκλοφοριακά περιουσιακά στοιχεία δεν καλύπτουν το σύνολο των υποχρεώσεων της επιχείρησης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παγίων περουσιακών στοιχείων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κεφάλαια των μακροπρόθεσμων πιστωτών είναι ασφαλή. Η επιχείρηση μπορεί να πάρει επιπλέον μακροπρόθεσμα κεφάλαια με την ίδια εξασφάλιση.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ιδίων κεφαλαίων προς πάγια περιουσιακά στοιχεία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Μέρος του καθαρού κεφαλαίου κίνησης καλύπτεται από τους επιχειρηματίες. </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1"/>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III.Κρίσιμα Σημεία</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57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381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57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381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ΚΡΙΣΙΜΑ ΣΗΜΕΙΑ ΓΙΑ ΤΗΝ ΟΜΑΛΗ ΛΕΙΤΟΥΡΓΙΑ ΤΗΣ ΕΠΙΧΕΙΡΗΣΗΣ</w:t>
            </w: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rPr>
            </w:pPr>
            <w:r>
              <w:rPr>
                <w:rFonts w:ascii="Calibri" w:hAnsi="Calibri"/>
                <w:b w:val="1"/>
                <w:color w:val="000000"/>
              </w:rPr>
              <w:t>Έτος : 2023</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2220" w:type="dxa"/>
            <w:gridSpan w:val="2"/>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ΟΡΙΑ</w:t>
            </w:r>
          </w:p>
        </w:tc>
      </w:tr>
      <w:tr>
        <w:trPr>
          <w:jc w:val="center"/>
        </w:trPr>
        <w:tc>
          <w:tcPr>
            <w:tcW w:w="57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α/α</w:t>
            </w:r>
          </w:p>
        </w:tc>
        <w:tc>
          <w:tcPr>
            <w:tcW w:w="165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ΓΕΓΟΝΟΣ</w:t>
            </w:r>
          </w:p>
        </w:tc>
        <w:tc>
          <w:tcPr>
            <w:tcW w:w="381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ΠΡΟΫΠΟΘΕΣΗ - ΟΡΙΑ</w:t>
            </w:r>
          </w:p>
        </w:tc>
        <w:tc>
          <w:tcPr>
            <w:tcW w:w="165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ΥΠΟΛΟΓΙΣΜΟΣ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ΕΝΤΟΣ</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ΕΚΤΟΣ</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Πωλήσεις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Αύξηση Πωλήσεων από προηγούμενη χρήση</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Αύξηση:    11,47%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Πάγιο Ενεργητικό</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&lt; 50% του Ενεργητικού</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62,71%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Κεφάλαιο Κίνησης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Θετικό</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443.282,87€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4</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Μεταβολή Βραχυχρονίων υποχρεώσεων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Μεταβολή % βραχυχρονίων υποχρεώσεων να είναι μικρότερη από την μεταβολή % των πωλήσεων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Μετ. Βραχ:    25,65% Μετ. Πωλ.:    11,47%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5</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Σχέση Εισπράξεων και Πληρωμών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Ο χρόνος Είσπραξης να είναι μικρότερος από τον χρόνο Πληρωμών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Χρόνος Είσπρ.:   698,27 Χρόνος Πληρ.:   635,04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6</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Αποθέματα</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Ο χρόνος παραμονής των αποθεμάτων στην επιχείρηση να είναι μικρότερος των 180 ημερών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7</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Κέρδη προ τόκων και φόρων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θετικά</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8</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Κέρδη προ φόρων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θετικά</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Χρεωστικοί Τόκοι</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απορροφούν λιγότερο από το 30% των Κερδών προ τόκων και φόρων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Βραχυπρόθεσμος Τραπεζικός Δανεισμός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καλύπτεται πλήρως από τα θεωρούμενα ως ρευστοποιήσιμα στοιχεία του Ενεργητικού</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Βραχ. τραπ. υπ. =  206.248,27€ Ρευστ. Στοιχ. =  693.550,60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Λειτουργική Ταμιακή Ροή</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Θετική</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12</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Λειτουργική Ταμιακή Ροή σε σχέση με τα καθαρά Κέρδη</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λειτουργική Ταμιακή Ροή να καλύπτει σε ποσοστό μεγαλύτερο του 50 % των καθαρών Κερδών μετά από φόρους.  </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Λειτ. Ταμ. Ροή/Καθ. Κέρ. μετά φόρ.:    109,81%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13</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Δείκτης Γενικής Ρευστότητας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Να είναι &gt; 1. 5 </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2,10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14</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Δείκτης Άμεσης Ρευστότητας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&gt; 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2,10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15</w:t>
            </w:r>
          </w:p>
        </w:tc>
        <w:tc>
          <w:tcPr>
            <w:tcW w:w="165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Σχέση Ιδίων προς Ξένα Κεφάλαια </w:t>
            </w:r>
          </w:p>
        </w:tc>
        <w:tc>
          <w:tcPr>
            <w:tcW w:w="381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Να μην είναι μικρότερη του 33, 3 % </w:t>
            </w:r>
          </w:p>
        </w:tc>
        <w:tc>
          <w:tcPr>
            <w:tcW w:w="165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72,35%</w:t>
            </w:r>
          </w:p>
        </w:tc>
        <w:tc>
          <w:tcPr>
            <w:tcW w:w="111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2"/>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IV.Νεκρό Σημείο &amp; Ανάλ. Ευαισθ.</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6120" w:type="dxa"/>
            <w:gridSpan w:val="2"/>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DEMO COMPANY</w:t>
            </w:r>
          </w:p>
        </w:tc>
        <w:tc>
          <w:tcPr>
            <w:tcW w:w="1455" w:type="dxa"/>
            <w:shd w:val="clear" w:color="auto" w:fill="FFFFFF"/>
            <w:vAlign w:val="center"/>
          </w:tcPr>
          <w:p>
            <w:pPr>
              <w:spacing w:lineRule="auto" w:line="240" w:after="0"/>
              <w:jc w:val="center"/>
              <w:rPr>
                <w:rFonts w:ascii="Calibri" w:hAnsi="Calibri"/>
                <w:b w:val="1"/>
                <w:color w:val="000000"/>
                <w:sz w:val="20"/>
              </w:rPr>
            </w:pPr>
          </w:p>
        </w:tc>
        <w:tc>
          <w:tcPr>
            <w:tcW w:w="1455" w:type="dxa"/>
            <w:shd w:val="clear" w:color="auto" w:fill="FFFFFF"/>
            <w:vAlign w:val="center"/>
          </w:tcPr>
          <w:p>
            <w:pPr>
              <w:spacing w:lineRule="auto" w:line="240" w:after="0"/>
              <w:jc w:val="center"/>
              <w:rPr>
                <w:rFonts w:ascii="Calibri" w:hAnsi="Calibri"/>
                <w:b w:val="1"/>
                <w:color w:val="000000"/>
                <w:sz w:val="20"/>
              </w:rPr>
            </w:pPr>
          </w:p>
        </w:tc>
        <w:tc>
          <w:tcPr>
            <w:tcW w:w="1455" w:type="dxa"/>
            <w:shd w:val="clear" w:color="auto" w:fill="FFFFFF"/>
            <w:vAlign w:val="center"/>
          </w:tcPr>
          <w:p>
            <w:pPr>
              <w:spacing w:lineRule="auto" w:line="240" w:after="0"/>
              <w:jc w:val="center"/>
              <w:rPr>
                <w:rFonts w:ascii="Calibri" w:hAnsi="Calibri"/>
                <w:b w:val="1"/>
                <w:color w:val="000000"/>
                <w:sz w:val="20"/>
              </w:rPr>
            </w:pPr>
          </w:p>
        </w:tc>
        <w:tc>
          <w:tcPr>
            <w:tcW w:w="1455" w:type="dxa"/>
            <w:shd w:val="clear" w:color="auto" w:fill="FFFFFF"/>
            <w:vAlign w:val="center"/>
          </w:tcPr>
          <w:p>
            <w:pPr>
              <w:spacing w:lineRule="auto" w:line="240" w:after="0"/>
              <w:jc w:val="center"/>
              <w:rPr>
                <w:rFonts w:ascii="Calibri" w:hAnsi="Calibri"/>
                <w:b w:val="1"/>
                <w:color w:val="000000"/>
                <w:sz w:val="20"/>
              </w:rPr>
            </w:pPr>
          </w:p>
        </w:tc>
      </w:tr>
      <w:tr>
        <w:trPr>
          <w:jc w:val="center"/>
        </w:trPr>
        <w:tc>
          <w:tcPr>
            <w:tcW w:w="6120" w:type="dxa"/>
            <w:gridSpan w:val="2"/>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ΜΕΛΕΤΗ ΛΕΙΤΟΥΡΓΙΚΟΥ ΚΑΙ ΟΛΙΚΟΥ ΝΕΚΡΟΥ ΣΗΜΕΙΟΥ</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ΝΕΚΡΟ ΣΗΜΕΙΟ (ΕΚΜΕΤΑΛΛΕΥΣΗΣ)</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Πωλήσεις ( Π ) </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312.117,70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95.992,09</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277.034,11</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325.479,47</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362.840,12</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Σταθερές Λειτουργικές Δαπάνες ( Σ ) </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188.084,48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25.863,33</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61.865,28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68.552,29</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7.234,91</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Μεταβλητές Λειτουργικές Δαπάνες ( Μ )</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5.391,30</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56.705,76</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160.959,94</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258.697,67</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254.550,30</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ΝΕΚΡΟ ΣΗΜΕΙΟ (ΕΚΜΕΤΑΛΛΕΥΣΗΣ) (Σ / (Π-Μ)) %</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61,32</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65,83</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53,30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102,65</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6,68</w:t>
            </w: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ΑΝΑΛΥΣΗ ΕΥΑΙΣΘΗΣΙΑΣ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-Ως προς πωλήσεις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13,98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19,57</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-0,54</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27,85</w:t>
            </w:r>
          </w:p>
        </w:tc>
      </w:tr>
      <w:tr>
        <w:trPr>
          <w:jc w:val="center"/>
        </w:trPr>
        <w:tc>
          <w:tcPr>
            <w:tcW w:w="4665"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  (1-(Σ+Μ)/Π) 100%</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-Ως προς Μεταβλητές Δαπάνες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2.200,62</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23,67</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33,68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-0,68</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39,70</w:t>
            </w:r>
          </w:p>
        </w:tc>
      </w:tr>
      <w:tr>
        <w:trPr>
          <w:jc w:val="center"/>
        </w:trPr>
        <w:tc>
          <w:tcPr>
            <w:tcW w:w="4665"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  ((Π-Σ)/Μ -1) 100%</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ΝΕΚΡΟ ΣΗΜΕΙΟ (ΜΕ ΕΣΟΔΑ ΑΠΟ ΕΠΕΝΔΥΣΕΙΣ)</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Πωλήσεις ( Π ) </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312.117,70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95.992,09</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277.034,11</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394.031,76</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362.840,12</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Σταθερές Δαπάνες ( Σ ) </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188.084,48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25.863,33</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61.865,28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68.552,29</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7.234,91</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Μεταβλητές Δαπάνες ( Μ )</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5.391,30</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56.705,76</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160.959,94</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258.697,67</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254.550,30</w:t>
            </w: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ΝΕΚΡΟ ΣΗΜΕΙΟ (ΜΕ ΕΣΟΔΑ ΑΠΟ ΕΠΕΝΔΥΣΕΙΣ) (Σ / (Π-Μ)) 100%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61,32</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65,83</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53,30</w:t>
            </w: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50,65</w:t>
            </w: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6,68</w:t>
            </w:r>
          </w:p>
        </w:tc>
      </w:tr>
      <w:tr>
        <w:trPr>
          <w:jc w:val="center"/>
        </w:trPr>
        <w:tc>
          <w:tcPr>
            <w:tcW w:w="466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ΑΝΑΛΥΣΗ ΕΥΑΙΣΘΗΣΙΑΣ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-Ως προς πωλήσεις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13,98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19,57</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16,95</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27,85</w:t>
            </w:r>
          </w:p>
        </w:tc>
      </w:tr>
      <w:tr>
        <w:trPr>
          <w:jc w:val="center"/>
        </w:trPr>
        <w:tc>
          <w:tcPr>
            <w:tcW w:w="4665"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  (1-(Σ+Μ)/Π) 100%</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6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 xml:space="preserve"> -Ως προς Μεταβλητές Δαπάνες</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2.200,62</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23,67</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33,68</w:t>
            </w:r>
          </w:p>
        </w:tc>
        <w:tc>
          <w:tcPr>
            <w:tcW w:w="1455"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25,81</w:t>
            </w:r>
          </w:p>
        </w:tc>
        <w:tc>
          <w:tcPr>
            <w:tcW w:w="1455"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39,70</w:t>
            </w:r>
          </w:p>
        </w:tc>
      </w:tr>
      <w:tr>
        <w:trPr>
          <w:jc w:val="center"/>
        </w:trPr>
        <w:tc>
          <w:tcPr>
            <w:tcW w:w="4665" w:type="dxa"/>
            <w:tcBorders>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  ((Π-Σ)/Μ -1) 100%</w:t>
            </w:r>
          </w:p>
        </w:tc>
        <w:tc>
          <w:tcPr>
            <w:tcW w:w="1455" w:type="dxa"/>
            <w:tcBorders>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455" w:type="dxa"/>
            <w:tcBorders>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3"/>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V.Αριθμοδείκτες</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shd w:val="clear" w:color="auto" w:fill="FFFFFF"/>
            <w:vAlign w:val="center"/>
          </w:tcPr>
          <w:p>
            <w:pPr>
              <w:spacing w:lineRule="auto" w:line="240" w:after="0"/>
              <w:jc w:val="center"/>
              <w:rPr>
                <w:rFonts w:ascii="Calibri" w:hAnsi="Calibri"/>
                <w:b w:val="1"/>
                <w:color w:val="000000"/>
                <w:sz w:val="28"/>
              </w:rPr>
            </w:pPr>
          </w:p>
        </w:tc>
      </w:tr>
      <w:tr>
        <w:trPr>
          <w:jc w:val="center"/>
        </w:trPr>
        <w:tc>
          <w:tcPr>
            <w:tcW w:w="14670" w:type="dxa"/>
            <w:gridSpan w:val="3"/>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ΑΡΙΘΜΟΔΕΙΚΤΕΣ</w:t>
            </w:r>
          </w:p>
        </w:tc>
      </w:tr>
      <w:tr>
        <w:trPr>
          <w:jc w:val="center"/>
        </w:trPr>
        <w:tc>
          <w:tcPr>
            <w:tcW w:w="14670" w:type="dxa"/>
            <w:gridSpan w:val="3"/>
            <w:shd w:val="clear" w:color="auto" w:fill="FFFFFF"/>
            <w:vAlign w:val="center"/>
          </w:tcPr>
          <w:p>
            <w:pPr>
              <w:spacing w:lineRule="auto" w:line="240" w:after="0"/>
              <w:jc w:val="center"/>
              <w:rPr>
                <w:rFonts w:ascii="Calibri" w:hAnsi="Calibri"/>
                <w:b w:val="1"/>
                <w:color w:val="000000"/>
              </w:rPr>
            </w:pPr>
            <w:r>
              <w:rPr>
                <w:rFonts w:ascii="Calibri" w:hAnsi="Calibri"/>
                <w:b w:val="1"/>
                <w:color w:val="000000"/>
              </w:rPr>
              <w:t>Έτος : 2023</w:t>
            </w: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r>
              <w:rPr>
                <w:rFonts w:ascii="Calibri" w:hAnsi="Calibri"/>
                <w:b w:val="1"/>
                <w:color w:val="0000FF"/>
                <w:sz w:val="28"/>
                <w:u w:val="single"/>
              </w:rPr>
              <w:t>I. ΔΕΙΚΤΕΣ ΡΕΥΣΤΟΤΗΤΑΣ</w:t>
            </w: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- 1. ΓΕΝΙΚΗΣ ΡΕΥΣΤΟΤΗΤΑΣ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Κυκλοφορούν ενεργητικό Μ. Ο / βραχυπρόθεσμες υποχρεώσεις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2,10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928.810,40 / 442.876,53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το μέσο όρο του κυκλοφορούντος ενεργητικού(συμπεριλαμβάνονται οι μεταβατικοί λογαριασμοί ενεργητικού), με τον μέσο όρο των βραχυπροθέσμων υποχρεώσεων (συμπεριλαμβάνονται οι μεταβατικοί παθητικού)</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το περίσσευμα των ρευστών κεφαλαίων πάνω από τις τρέχουσες υποχρεώσεις. Το πλεόνασμα των κυκλοφοριακών περιουσιακών στοιχείων πάνω από τις τρέχουσες υποχρεώσεις, παρέχει ένα περιθώριο ασφαλείας για τα άτομα που έχουν επενδύσει χρηματικά ποσά στην επιχείρηση. Τιμή του δείκτη γύρω στο 2 κρίνεται ικανοποιητική.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- 2. ΑΜΕΣΗΣ ΡΕΥΣΤΟΤΗΤΑΣ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(Κυκλοφορούν ενεργ. - Απόθεμα)Μ. Ο / Βραχυπρόθεσμες Υποχρεώσεις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2,10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(928.810,40 - 0,00) / 442.876,53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το μέσο όρο του κυκλοφορούντος ενεργητικού αφού αφαιρέσουμε τα αποθέματα(συμπεριλαμβάνονται οι μεταβατικοί λογαριασμοί ενεργητικού), με τον μέσο όρο των βραχυπροθέσμων υποχρεώσεων (συμπεριλαμβάνονται οι μεταβατικοί παθητικού)</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δυνατότητα της επιχείρησης να εξυπηρετήσει τις βραχυπρόθεσμες υποχρεώσεις της ρευστοποιώντας τα αμέσως ρευστοποιήσιμα στοιχεία. Αφαιρούνται τα αποθέματα διότι αφ ενός παρουσιάζουν μεταξύ των κυκλοφορούντων περιουσιακών στοιχείων την μικρότερη ρευστότητα, αφ ετέρου από την ρευστοποίηση των αποθεμάτων είναι πολύ πιθανό να προκύψει ζημιά. Τιμή του δείκτη &gt; 1 κρίνεται ικανοποιητικός.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- 3. ΤΑΜΙΑΚΗΣ ΡΕΥΣΤΟΤΗΤΑΣ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Διαθέσιμα Μ. Ο / βραχυπρόθεσμες υποχρεώσεις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0,13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57.346,15 / 442.876,53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μέσο όρο των Διαθεσίμων, με τον μέσο όρο των βραχυπροθέσμων υποχρεώσεων (συμπεριλαμβάνονται οι μεταβατικοί παθητικού)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πόσες φορές τα διαθέσιμα περιουσιακά στοιχεία μιας επιχείρησης καλύπτουν τις τρέχουσες και ληξιπρόθεσμες υποχρεώσεις της. Η Τιμή του δείκτη είναι συνήθως &lt;1. Ακόμα και οι Τράπεζες δεν εμφανίζουν ταμιακή ρευστότητα μεγαλύτερη της μονάδας.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- 4. ΑΝΑΚΥΚΛΩΣΗΣ ΑΠΑΙΤΗΣΕΩΝ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Ετήσιες Πωλήσεις / Απαιτήσεις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0,52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694.024,36</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Πωλήσεις, με τον μέσο όρο των Απαιτήσεων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πόσες φορές μέσα στην χρήση. η επιχείρηση εισπράττει τις απαιτήσεις της Η Τιμή του δείκτη για να είναι ικανοποιητικός πρέπει να είναι αρκετά μεγαλύτερη της μονάδας, εξαρτάται δε και από τον κλάδο που ανήκει η επιχείρηση καθώς και από τις συνθήκες που επικρατούν στην αγορά.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- 5. ΜΕΣΟΣ ΧΡΟΝΟΣ ΕΙΣΠΡΑΞΗΣ ΑΠΑΙΤΗΣΕΩΝ </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(Απαιτήσεις Μ. Ο * 365 ημέρες) / Ετήσιες Πωλήσεις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698,27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694.024,36 x 365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το αποτέλεσμα του πολλαπλασιασμού του μέσου όρου των Απαιτήσεων με τις 365 ημέρες, το διαιρέσουμε με τις ετήσιες Πωλήσεις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σε πόσες ημέρες η επιχείρηση περιμένει να εισπράξει τις απαιτήσεις της, από την στιγμή που πραγματοποιηθήκαν οι πωλήσεις. Όσο μικρότερος είναι ο χρόνος αυτός, τόσο μεγαλύτερη είναι η ταχύτητα είσπραξης, άρα μικρότερος ο χρόνος δέσμευσης των κεφαλαίων, καλύτερη η θέση της επιχείρησης από απόψεως χορηγουμένων πιστώσεων και μικρότερη η πιθανότητα ζημιών από επισφαλείς απαιτήσεις.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- 6. ΑΝΑΚΥΚΛΩΣΗ ΑΠΟΘΕΜΑΤΩΝ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Κόστος Πωληθέντων / Αποθέματα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254.550,30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το Κόστος Πωληθέντων το διαιρέσουμε με τον Μέσο όρο των Αποθεμάτων</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τον μέσο ρυθμό ταχύτητας με τον οποίο τα αποθέματα εισέρχονται και εξέρχονται από την Επιχείρηση. Δείχνει πόσες φορές η επιχείρηση ξεπούλησε τα εμπορεύματα της και έπρεπε να ξαναγεμίσει τις αποθήκες της μέσα σε ένα οικονομικό έτος. Υψηλή τιμή του δείκτη πιθανόν να αποτελεί ένδειξη επιτυχούς διαχείρισης των αποθεμάτων και καλής ταμειακής θέσης της επιχείρησης, ενώ χαμηλή πιθανόν ότι η επιχειρηματική δραστηριότητα γίνεται με αργούς ρυθμούς, που έχει σαν αποτέλεσμα την δέσμευση κεφαλαίων στα αποθέματα σε σχέση με τις πωλήσεις, επίσης η επιχείρηση είναι υποχρεωμένη να διατηρεί υψηλή ρευστότητα για να ικανοποιεί τις βραχυπρόθεσμες υποχρεώσεις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- 7. ΜΕΣΟΣ ΧΡΟΝΟΣ ΠΑΡΑΜΟΝΗΣ ΑΠΟΘΕΜΑΤΩΝ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(Μέσα αποθέματα*365 ημέρες) / Κόστος πωληθέντων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x 365 / 254.550,30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το γινόμενο του πολλαπλασιασμού του μέσου όρου αποθεμάτων επί 365 ημέρες το διαιρέσουμε με το Κόστος Πωληθέντων.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 πόσες ημέρες παραμένουν τα αποθέματα στην επιχείρηση από την αγορά έως την πώληση. Στις Βιομηχανικές επιχειρήσεις που κάνουν και την εμπορία των προϊόντων που παράγουν, ο κύκλος διαρκεί πιο πολλές ημέρες από την αγορά μέχρι την πώληση των αποθεμάτων εφ όσον μεσολαβεί η φάση της βιομηχανοποίησης. Γι αυτό το περιθώριο κέρδους μιας βιομηχανικής μονάδας θα πρέπει να είναι μεγαλύτερο από αυτό μιας εμπορικής μονάδας για να καλύψει την καθυστέρηση λόγω βιομηχανοποίησης, αλλά και την επένδυση κεφαλαίων σε αποθέματα πρώτων και βοηθητικών υλικών. Όσο μικρότερος είναι ο χρόνος παραμονής των αποθεμάτων στην αποθήκη και με την προϋπόθεση ότι δεν γίνεται αναγκαστική ρευστοποίηση, τόσο μεγαλύτερος θα είναι ο βαθμός ρευστότητας της επιχείρησης. Όσο μεγαλύτερος είναι ο χρόνος παραμονής των αποθεμάτων στην επιχείρηση, μικραίνει ο βαθμός ρευστότητάς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- 8. ΑΝΑΚΥΚΛΩΣΗ ΒΡΑΧΥΧΡΟΝΙΩΝ ΥΠΟΧΡΕΩΣΕΩΝ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(Κόστος Πωληθέντων-Αποσβέσεις) / Μ. Ο. Βραχυχρονίων υποχρεώσεων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0,57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(254.550,30 - 0,00) / 442.876,53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από το κόστος πωληθέντων αφαιρεθούν οι αποσβέσεις και την διαφορά αυτή την διαιρέσουμε με τον μέσο όρο των βραχυχρονίων υποχρεώσεων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μας δείχνει πόσες φορές μέσα στην χρήση ανανεώθηκαν οι ληφθείσες από την επιχείρηση πιστώσεις. Η παρακολούθηση του δείκτη αυτού για σειρά ετών μας δείχνει εάν υπάρχει μεταβολή στην πιστοληπτική πολιτική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- 9. ΧΡΟΝΟΣ ΕΞΟΦΛΗΣΗΣ ΒΡΑΧΥΧΡΟΝΙΩΝ ΥΠΟΧΡΕΩΣΕΩΝ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(Μ. Ο Βραχυχρονίων υποχρεώσ*365 ημέρες) /( Κόστος πωληθέντων-Αποσβέσεις)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635,04</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442.876,53 x 365 / (254.550,30 - 0,00)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το γινόμενο του πολλαπλασιασμού του μέσου όρου των βραχυχρονίων υποχρεώσεων επί 365 ημέρες το διαιρέσουμε με το κόστος πωληθέντων αφού αφαιρέσουμε από αυτό τις αποσβέσεις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μας δείχνει σε πόσες ημέρες η επιχείρηση πληρώνει τους βραχυπρόθεσμους πιστωτές της. Σε συνδυασμό με τις ημέρες είσπραξης των απαιτήσεών της από τους πελάτες της γίνεται φανερή η διαμορφούμενη ρευστότητα της επιχείρησης αλλά και η πιστοληπτική της ικανότητα. Εάν η επιχείρηση παρακολουθεί στενά την περίοδο πληρωμής των υποχρεώσεων της, τότε προσπαθεί να έχει ισορροπία ανάμεσα στην ανάγκη να έχει ταμιακά διαθέσιμα και να κρατά ευχαριστημένους τους προμηθευτές της. Εάν ο χρόνος πληρωμής των βραχυπροθέσμων υποχρεώσεων είναι μεγαλύτερος από τον χρόνο είσπραξης των απαιτήσεων, τότε η επιχείρηση έχει δημιουργήσει μια πηγή χρηματοδότησης που αποτελεί μια αποτελεσματική χρησιμοποίηση ξένων κεφαλαίων.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- 10. ΑΜΥΝΤΙΚΟΥ ΧΡΟΝΙΚΟΥ ΔΙΑΣΤΗΜΑΤΟΣ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(Κυκλοφορούν Μ. Ο - Απόθεμα Μ. Ο) / Μ. Ο. ημερήσια Λειτουργικά έξοδα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1.295,02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(928.810,40 - 0,00) / 717,22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την διαφορά του μέσου όρου του κυκλοφορούντος ενεργητικού μείον τον μέσο όρο των αποθεμάτων την διαιρέσουμε με τον μέσο όρο των ημερήσιων λειτουργικών εξόδων.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του αμυντικού χρονικού διαστήματος μετρά τον αριθμό των ημερών που οι απαιτήσεις των εργασιών της επιχείρησης για ρευστοποιήσιμα περιουσιακά στοιχεία μπορούν να ικανοποιηθούν από το απόθεμα των αμυντικών περιουσιακών στοιχείων της, χωρίς η επιχείρηση να βασίζεται σε επιπρόσθετες εισροές από τις πωλήσεις ή άλλες πηγές. Με τον όρο αμυντικά περιουσιακά στοιχεία εννοούμε τα μετρητά, τα εμπορεύσιμα χρεόγραφα και τις απαιτήσεις. Ο μέσος όρος των ημερησίων λειτουργικών δαπανών βρίσκεται εάν διαιρέσουμε το σύνολο των λειτουργικών δαπανών (κόστος πωληθέντων +δαπάνες διοικήσεως +δαπάνες διαθέσεως +διάφορες καθημερινές πληρωμές)με 365 ημέρες. Στις λειτουργικές δαπάνες δεν περιλαμβάνονται εκείνες που δεν συνεπάγεται εκροή μετρητών, όπως αποσβέσεις, προπληρωθέντα έξοδα, προκαταβολές για αγορά πρώτων και βοηθητικών υλικών.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- 11. ΠΟΣΟΣΤΟΥ ΕΠΙΣΦΑΛΩΝ ΑΠΑΙΤΗΣΕΩΝ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(επισφαλείς + Επίδικες απαιτήσεις) / Σύνολο Απαιτήσεων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714.583,93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επισφαλών απαιτήσεων με τις συνολικές απαιτήσεις.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μας δείχνει σε τι ποσοστό % οι επισφαλείς απαιτήσεις συμμετέχουν στο σύνολο των απαιτήσεων. Η παρακολούθηση της τάσης του δείκτη αυτού διαχρονικά συμβάλλει στην αξιολόγηση της ποιότητας και της ρευστότητας των απαιτήσεων. Αύξηση του δείκτη αυτού παρέχει ένδειξη επιδείνωσης της δυνατότητας είσπραξης των απαιτήσεων.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- 12. ΗΜΕΡΩΝ ΚΑΛΥΨΗΣ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((Βραχυπρ. υποχρ. -(Κυκλοφορούν Ενεργ. -Αποθέματα))/(Κεφ. Κίν. από τις εργασίες της Επιχείρησης)) * 365 ημέρες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493.226,27 &lt;= (936.509,14 - 0,00)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Δεν υπολογίζεται εάν οι βραχυπρόθεσμες υποχρεώσεις είναι μικρότερες από κυκλοφοριακά περιουσιακά στοιχεία άμεσης ρευστότητας (κυκλοφορούν-αποθέματα ). Στην περίπτωση αυτή η τιμή του δείκτη θα είναι αρνητική. Υπολογίζεται εάν από τις βραχυπρόθεσμες υποχρεώσεις αφαιρεθούν τα αμέσως ρευστοποιήσιμα περιουσιακά στοιχεία και την διαφορά αυτή την διαιρέσουμε με το γινόμενο του καθαρού κεφαλαίου κίνησης από τις εργασίες της επιχείρησης επί 365 ημέρες. Το καθαρό κεφάλαιο κίνησης είναι το άθροισμα των καθαρών κερδών μετά από φόρους συν τις αποσβέσεις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δίνει ένα μέτρο συναφές με τον αριθμοδείκτη άμεσης ρευστότητας, έχει όμως επιπρόσθετα το πλεονέκτημα ότι η διαφορά μεταξύ βραχυπροθέσμων υποχρεώσεων και περιουσιακών στοιχείων άμεσα ρευστοποιήσιμα, σχετίζεται με την ικανότητα της επιχείρησης να δημιουργεί κεφάλαιο κίνησης από τις εργασίες της. Οι μικρότερες τιμές του δείκτη είναι προτιμότερες από τις μεγαλύτερες γιατί σημαίνει μικρότερο χρονικό διάστημα για την κάλυψη των υποχρεώσεων.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 - 13. ΧΡΟΝΙΚΗ ΚΑΛΥΨΗ ΥΠΟΧΡΕΩΣΕΩΝ ΣΕ ΜΕΤΡΗΤΑ</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Βραχυπρόθεσμες υποχρεώσεις που λήγουν σε 30 ημέρες / Διαθεσιμότητα μετρητών σε 30 ημέρες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1,29</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30 x 40.349,90 / 936.509,14</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1. Οι βραχυπρόθεσμες υποχρεώσεις που λήγουν σε 30 ημέρες υπολογίζονται: (α) Προμηθευτές (β) Βραχυπρόθεσμος τραπεζικός δανεισμός διά 12 μήνες (γ) Φόροι και άλλες βραχυπρόθεσμες υποχρεώσεις δια 12 μήνες 2. Η διαθεσιμότητα μετρητών σε 30 ημέρες υπολογίζεται: (α) Μετρητά (β) Εμπορεύσιμα χρεόγραφα (γ) Πελάτες δια 12 μήνες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σε αριθμό ημερών πότε η επιχείρηση θα μπορεί να πληρώσει υποχρεώσεις που λήγουν σε 30 ημέρες. Εάν η τιμή είναι μικρότερη από 30 ημέρες μπορεί να χαρακτηρισθεί ως ευνοϊκή εξέλιξη, ενώ εάν η τιμή του δείκτη είναι μεγαλύτερη από 30 ημέρες πιθανόν η επιχείρηση να παρουσιάσει καθυστέρηση στην ικανοποίηση των υποχρεώσεων της. Ο υπολογισμός της χρονικής περιόδου κάλυψης των υποχρεώσεων σε μετρητά αποκτά την μεγαλύτερη δυνατή χρησιμότητα όταν θεωρείται σαν ένδειξη του πότε θα πρέπει ο πελάτης να πληρώνει.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pageBreakBefore w:val="1"/>
              <w:spacing w:lineRule="auto" w:line="240" w:after="0"/>
              <w:rPr>
                <w:rFonts w:ascii="Calibri" w:hAnsi="Calibri"/>
                <w:b w:val="1"/>
                <w:color w:val="0000FF"/>
                <w:sz w:val="28"/>
                <w:u w:val="single"/>
              </w:rPr>
            </w:pPr>
            <w:r>
              <w:rPr>
                <w:rFonts w:ascii="Calibri" w:hAnsi="Calibri"/>
                <w:b w:val="1"/>
                <w:color w:val="0000FF"/>
                <w:sz w:val="28"/>
                <w:u w:val="single"/>
              </w:rPr>
              <w:t>II. ΔΕΙΚΤΕΣ ΚΕΦΑΛΑΙΑΚΗΣ ΔΟΜΗΣ &amp; ΒΙΩΣΙΜΟΤΗΤΑΣ</w:t>
            </w: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 ΣΧΕΣΕΩΝ ΚΕΦΑΛΑΙΩΝ (Αυτονομίας)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Ίδια Κεφάλαια / συνολικά Κεφάλαια</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41,93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1.053.009,56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(όχι μέσο όρο) των ιδίων κεφαλαίων της επιχείρησης με το σύνολο του παθητικού ή του ενεργητικού της στον ισολογισμό.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Εκφράζει την σχέση μεταξύ του ιδίου κεφαλαίου και του συνόλου των κεφαλαίων που είναι διαθέσιμα στην επιχείρηση. Οι τιμές που παίρνει είναι από 0-100. Οι τιμές που πλησιάζουν προς το 100 είναι προτιμότερες. Ένας υψηλός δείκτης δεν προδιαθέτει αρνητικά για την ρευστότητα στα επόμενα χρόνια αφού από την πλευρά των ξένων κεφαλαίων η πίεση για ταμιακές εκροές για εξυπηρέτηση τους θα είναι χαμηλή και αντιμετωπίσιμη. Επίσης ο δείκτης αυτός δίνει και μια εικόνα της αυτονομίας που μπορεί να έχει μια επιχείρηση και της ανεξαρτησίας της από δανεικά κεφάλαια και άλλους πιστωτές.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- 2. ΥΠΕΡΧΡΕΩΣΗΣ (Ξένα προς Ίδια Κεφάλαια)</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Ξένα Κεφάλαια / Ίδια Κεφάλαια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138,21</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1.455.360,90 / 1.053.009,56</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των υποχρεώσεων (μακροπρόθεσμες + βραχυπρόθεσμες) με το σύνολο των ιδίων κεφαλαίων.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σχέση των ιδίων κεφαλαίων προς τα ξένα κεφάλαια της επιχείρησηςΌσο μεγαλύτερος είναι ο δείκτης (και πάνω από το 100 ), τόσο υπερχρεωμένη είναι η επιχείρηση. Χρησιμοποιείται από τους δανειστές της επιχείρησης για να εκτιμήσουν τον βαθμό ασφάλειας που τους εξασφαλίζουν τα ίδια κεφάλαια, αλλά και από την διοίκηση και τους μετόχους της επιχείρησης για να διαπιστώσουν το επίπεδο στο οποίο έχει φθάσει η χρήση κεφαλαιακής μόχλευσης.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- 3. ΧΡΗΜΑΤΟΔΟΤΗΣΗΣ ΠΑΓΙΩΝ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Ίδια Κεφάλαια / Καθαρή αξία παγίων(%)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66,87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1.053.009,56 / 1.574.637,58</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ίδια κεφάλαια με την καθαρή αξία των παγίων.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την σχέση μεταξύ λειτουργικών μη κυκλοφοριακών περιουσιακών στοιχείων και ιδίων κεφαλαίων. Ο δείκτης χρησιμοποιείται στον προσδιορισμό του τρόπου χρηματοδότησης των παγίων τής επιχείρησης. Μια αυξητική τάση της τιμής του αριθμοδείκτη δείχνει ότι η επέκταση του κεφαλαιουχικού εξοπλισμού της επιχείρησης έχει χρηματοδοτηθεί περισσότερο από ίδιο κεφάλαιο παρά από δανειακά κεφάλαια.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- 4. ΚΥΚΛΟΦΟΡΟΥΝΤΟΣ ΕΝΕΡΓΗΤΙΚΟΥ ΠΡΟΣ ΥΠΟΧΡΕΩΣΕΙΣ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Κυκλοφορούν Ενεργητικό / Σύνολο Υποχρεώσεων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0,64</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936.509,14 / 1.455.360,90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του κυκλοφορούντος ενεργητικού με το σύνολο των υποχρεώσεων, συμπεριλαμβανομένων και των μεταβατικών λογαριασμών Ενεργητικού και Παθητικού.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των κυκλοφορούντων στοιχείων του ενεργητικού με το σύνολο των υποχρεώσεων. Ο δείκτης αυτός είναι μια ένδειξη της μακροχρόνιας ρευστότητας της επιχείρησης. Τιμές &gt;1 σημαίνουν ότι τα κυκλοφοριακά περιουσιακά στοιχεία υπερκαλύπτουν το σύνολο των υποχρεώσεων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- 5. ΔΑΝΕΙΑΚΗΣ ΕΠΙΒΑΡΥΝΣΗΣ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Δανειακές Υποχρεώσεις / Σύνολο Ενεργητικού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57,96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1.455.360,90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των δανείων της επιχείρησης, όπως εμφανίζονται στον ισολογισμό με το σύνολο του ενεργητικού.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Ο δείκτης αυτός δείχνει την σχέση των δανείων προς το σύνολο των κεφαλαίων κάθε μορφής που χρησιμοποιούνται με οποιονδήποτε τρόπο από την επιχείρηση. Χρησιμεύει στην εκτίμηση της δανειακής επιβάρυνσης της επιχείρησης</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- 6. ΠΑΓΙΩΝ ΠΡΟΣ ΜΑΚΡΟΠΡΟΘΕΣΜΕΣ ΥΠΟΧΡΕΩΣΕΙΣ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Καθαρή αξία παγίων / Μακροπρόθεσμες Υποχρεώσεις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1,64</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1.574.637,58 / 962.134,63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καθαρό πάγιο ενεργητικό με τις μακροπρόθεσμες υποχρεώσεις.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σχέση των παγίων με τις μακροπρόθεσμες υποχρεώσεις. Φανερώνει σε κάποιο μέτρο την ασφάλεια των μακροχρόνιων πιστωτών της επιχείρησης από την ρευστοποίηση των παγίων. Επίσης μας δείχνει σε ποιο βαθμό μπορεί η επιχείρηση να αντλήσει επιπρόσθετα ξένα κεφάλαια με την ίδια εξασφάλιση. Τιμές &gt;1 είναι προτιμότερες τόσο για του φορείς της επιχείρησης που δείχνει ότι μπορούν να πάρουν επιπρόσθετα ξένα κεφάλαια όσο και για μακροπρόθεσμους πιστωτές ότι τα κεφάλαια τους έχουν επαρκή εξασφάλιση.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- 7. ΠΑΓΙΑ ΠΡΟΣ ΣΥΝΟΛΟ ΠΑΘΗΤΙΚΟΥ</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Καθαρή αξία παγίων / Σύνολο Παθητικού</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0,63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1.574.637,58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την καθαρή αξία του πάγιου ενεργητικού με το σύνολο του παθητικού.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του πάγιου ενεργητικού με το σύνολο του παθητικού ή ενεργητικού και τον βαθμό που τα κεφάλαια έχουν επενδυθεί σε πάγια στοιχεία, σε σύγκριση με τα βραχυπρόθεσμης μορφής περιουσιακά στοιχεία.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- 8. ΠΑΛΑΙΟΤΗΤΑ ΠΑΓΙΩΝ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Σύνολο Αποσβέσεων Παγίων Ισολογισμού/ Αξία Κτήσεως Παγίων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1.574.637,58</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των αποσβέσεων του ισολογισμού με την αξία κτήσεως των παγίων του ισολογισμού.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των παγίων στην αξία κτήσης τους και των αποσβέσεων που έχουν γίνει σε αυτά. Χρησιμεύει στην εκτίμηση της παλαιότητας των παγίων για την πιθανή αντικατάσταση αυτών.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- 9. ΑΥΤΟΧΡΗΜΑΤΟΔΟΤΗΣΗΣ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Αποθεματικά / Μετοχοποιημένα Κεφάλαια</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0,78</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463.074,56 / 589.935,00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των αποθεματικών (του λογαριασμού ιδίων κεφαλαίων) με το σύνολο του μετοχικού κεφαλαίου.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σχέση των αποθεματικών προς τα μετοχοποιημένα κεφάλαια. Χρησιμεύει στην διάγνωση της πιστοληπτικής ικανότητας της επιχείρησης αλλά και την πολιτική της διοίκησης ή των ιδιοκτητών αναφορικά με τις μακροχρόνιες επενδυτικές προθέσεις τους.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- 10. ΕΝΤΑΣΕΩΣ ΚΕΦΑΛΑΙΟΥ</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Ετήσιες Αποσβέσεις / Ετήσιο Εργατικό Κόστος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ετήσιες αποσβέσεις των παγίων με το ετήσιο εργατικό κόστος της επιχείρησης.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τον βαθμό αυτοματοποίησης της παραγωγής βιομηχανικών επιχειρήσεων και χρησιμεύει στην εκτίμηση του τρόπου λειτουργίας και της ανταγωνιστικότητας μιας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- 11. ΚΑΛΥΨΗΣ ΤΟΚΩΝ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προ τόκων &amp;Φόρων / Τόκοι</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κέρδη προ τόκων και φόρων με τους ετήσιους τόκους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τον βαθμό στον οποίο τα κέρδη της επιχείρησης μπορούν να μειωθούν, χωρίς αυτό να προκαλέσει οποιοδήποτε πρόβλημα στο να ικανοποιήσει την επιβάρυνση από τους ετήσιους τόκους.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- 12. ΑΝΑΝΕΩΣΗΣ ΠΑΓΙΟΥ ΕΞΟΠΛΙΣΜΟΥ</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Αποσβέσεις περιόδου / Μεταβολή Παγίων περιόδου Μ. Ο προ αποσβέσεων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31.484,10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των αποσβέσεων της χρήσης με την μεταβολή των παγίων στην ίδια χρονική περίοδο.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το ποσοστό των νέων επενδύσεων που χρηματοδοτήθηκαν από τις αποσβέσεις.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- 13. ΚΑΛΥΨΗΣ ΧΡΗΜΑΤΟΟΙΚΟΝΟΜΙΚΩΝ ΕΞΟΔΩΝ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προ τόκων &amp;Φόρων / Ετήσια χρηματοοικονομικά Έξοδα</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κέρδη προ τόκων και φόρων με τα ετήσια χρηματοοικονομικά έξοδα.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δυνατότητα της επιχείρησης να δημιουργεί έσοδα τέτοια που να έχει την δυνατότητα να πληρώνει εκτός από όλα τα άλλα έξοδα που χρειάζεται για να λειτουργήσει και τα χρηματοοικονομικά έξοδα.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- 14. ΑΠΟΔΟΣΗΣ ΣΥΝΟΛΟΥ ΑΠΑΣΧΟΛΟΥΜΕΝΩΝ ΚΕΦΑΛΑΙΩΝ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(Κέρδη προ φόρων +χρηματοοικονομικά έξοδα) / Σύνολο Παθητικού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0,04</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+ 0,00)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κέρδη προ φόρων και χρηματοοικονομικών εξόδων με το σύνολο του παθητικού.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αποδοτικότητα της επιχείρησης ανεξάρτητα από τις πηγές προέλευσης των κεφαλαίων της. Επίσης δείχνει την ικανότητα της διοίκησης της επιχείρησης να παράγει κέρδη με σωστή χρησιμοποίηση των ιδίων και ξένων κεφαλαίων. Ο υπολογισμός της αποδοτικότητας του συνόλου των απασχολουμένων κεφαλαίων αποτελεί κατά κάποιο τρόπο οδηγό στις περιπτώσεις που κάποια επιχείρηση πρόκειται να εξαγοράσει κάποια άλλη επιχείρηση ή να αναλάβει νέες δραστηριότητες. Εάν ο δείκτης αυτός είναι χαμηλότερος από το κόστος των δανειακών κεφαλαίων, τυχόν αύξηση αυτών θα μειώσει τα κέρδη της επιχείρησης. Επίσης ένας χαμηλός δείκτης μπορεί εύκολα να μηδενισθεί σε περιόδους κρίσεως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- 15. ΑΠΟΔΟΣΗΣ ΙΔΙΩΝ ΚΕΦΑΛΑΙΩΝ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Καθαρά αποτελ. προ φόρων / Ίδια Κεφάλαια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9,60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1.053.009,56</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καθαρά κέρδη προ φόρων με το σύνολο των ιδίων κεφαλαίων.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κερδοφόρα δυναμικότητα μιας επιχείρησης και μας πληροφορεί για το εάν επιτεύχθηκε ο στόχος ενός ικανοποιητικού αποτελέσματος. Ένας υψηλός δείκτης αποτελεί ένδειξη ότι η επιχείρηση πηγαίνει καλά και μπορεί να οφείλεται είτε στην επιτυχημένη διοίκηση της, είτε σε ευνοϊκές οικονομικές συνθήκες, είτε στη σωστή χρησιμοποίηση των κεφαλαίων της. Σε αυτή την τελευταία περίπτωση ωφελούνται οι μέτοχοι επειδή τα ξένα κεφάλαια κοστίζουν λιγότερο από ότι αυτά αποδίδουν στην επιχείρηση.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- 16. ΠΕΡΙΘΩΡΙΟ ΚΕΦΑΛΑΙΑΚΗΣ ΜΟΧΛΕΥΣΗΣ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Αποδοτικότητα Ιδίων / Αποδοτικότητα Απασχολουμένων Κεφαλαίων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238,47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9,60 / 4,02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το ποσοστό απόδοσης των ιδίων κεφαλαίων το διαιρέσουμε με το ποσοστό % των συνολικών κεφαλαίων.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απόδοσης των ιδίων κεφαλαίων προς αυτή του συνόλου των κεφαλαίων που έχουν επενδυθεί στην επιχείρηση. Η κεφαλαιακή ή χρηματοοικονομική μόχλευση είναι η χρησιμοποίηση δανειακών κεφαλαίων με σκοπό την αύξηση της απόδοσης των ιδίων κεφαλαίων. Η επίδραση των δανειακών κεφαλαίων στα κέρδη μιας επιχείρησης είναι θετική, όταν η αποδοτικότητα των ιδίων κεφαλαίων είναι μεγαλύτερη από την αποδοτικότητα του συνόλου των απασχολουμένων κεφαλαίων. Εάν ο δείκτης είναι &gt; 1, τότε η επίδραση από την χρήση των ξένων κεφαλαίων στα κέρδη της επιχείρησης είναι επωφελής για την επιχείρηση. Εάν ο δείκτης είναι &lt; 1, τότε η επίδραση από την χρήση των ξένων κεφαλαίων στα κέρδη της επιχείρησης είναι αρνητική και η επιχείρηση δανείζεται με επαχθείς όρους. Εάν ο δείκτης είναι = 1, τότε η επίδραση από την χρήση των ξένων κεφαλαίων στα κέρδη της επιχείρησης είναι μηδενική και δεν υπάρχει ωφέλεια για την επιχείρηση.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- 17. ΔΙΑΡΚΕΙΑΣ ΕΞΟΦΛΗΣΗΣ ΕΠΕΝΔΥΣΕΩΝ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Καθαρά πάγια / Ταμιακή ροή</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15,58</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1.574.637,58 / 101.054,91</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την καθαρή αξία των παγίων με την ταμειακή ροή.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χρονική διάρκεια κατά την οποία το σύνολο των επενδύσεων μιας επιχείρησης σε πάγια θα αποδεσμευθεί με την μορφή κερδών και αποσβέσεων. Όσο μεγαλύτερος είναι δείκτης αυτός, τόσο περισσότερος χρόνος χρειάζεται μέχρι να εξοφληθούν τα πάγια με εισροές μόνο από τη δραστηριότητα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- 18. ΠΟΣΟΣΤΟΥ ΑΥΤΟΧΡΗΜΑΤΟΔΟΤΗΣΗΣ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Ταμιακή ροή / Πωλήσεις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27,86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την ταμειακή ροή με τις ετήσιες πωλήσεις επί %.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δείχνει το ποσοστό % αυτοχρηματοδότησης μιας επιχείρησης. Όσο μεγαλύτερος είναι ο δείκτης, τόσο μεγαλύτερο είναι το ποσοστό της χρηματοδότησης μιας επιχείρησης από τα ίδια κεφάλαια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- 19. ΙΔΙΑ ΠΡΟΣ ΞΕΝΑ</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Ίδια Κεφάλαια / Ξένα Κεφάλαια</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0,72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1.053.009,56 / 1.455.360,90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ίδια κεφάλαια με τα δανειακά κεφάλαια (μακροπρόθεσμες + βραχυπρόθεσμες υποχρεώσεις).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ασφάλεια που παρέχει η επιχείρηση στους δανειστές της. Εάν ο δείκτης είναι &gt; 1, τότε οι φορείς της επιχείρησης συμμετέχουν με περισσότερα κεφάλαια από ότι οι πιστωτές της. Όσο μεγαλύτερη είναι αυτή η σχέση τόσο μεγαλύτερη ασφάλεια παρέχεται στους πιστωτές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 - 20. ΜΑΚΡΟΠΡΟΘΕΣΜΟΥ ΔΑΝΕΙΣΜΟΥ ΠΡΟΣ ΙΔΙΑ ΚΕΦΑΛΑΙΑ </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Μακροπρόθεσμες υποχρεώσεις / Ίδια κεφάλαια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91,37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962.134,63 / 1.053.009,56</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μακροπρόθεσμες υποχρεώσεις με τα ίδια κεφάλαια.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 των μακροπροθέσμων υποχρεώσεων της επιχείρησης προς τα ίδια κεφάλαια αυτής.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pageBreakBefore w:val="1"/>
              <w:spacing w:lineRule="auto" w:line="240" w:after="0"/>
              <w:rPr>
                <w:rFonts w:ascii="Calibri" w:hAnsi="Calibri"/>
                <w:b w:val="1"/>
                <w:color w:val="0000FF"/>
                <w:sz w:val="28"/>
                <w:u w:val="single"/>
              </w:rPr>
            </w:pPr>
            <w:r>
              <w:rPr>
                <w:rFonts w:ascii="Calibri" w:hAnsi="Calibri"/>
                <w:b w:val="1"/>
                <w:color w:val="0000FF"/>
                <w:sz w:val="28"/>
                <w:u w:val="single"/>
              </w:rPr>
              <w:t>III. ΔΕΙΚΤΕΣ ΑΠΟΔΟΤΙΚΟΤΗΤΑΣ</w:t>
            </w: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 ΜΙΚΤΟΥ ΚΕΡΔΟΥΣ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(Πωλήσεις - Κόστος Πωληθέντων) / Πωλήσεις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29,83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( 362.778,82 - 254.550,30 )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μικτά κέρδη εκμεταλλεύσεως με τις πωλήσεις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είναι σημαντικός για τις βιομηχανικές και εμπορικές επιχειρήσεις, διότι παρέχει ένα μέτρο αξιολόγησης της αποδοτικότητας τους. Μια επιχείρηση θεωρείται επιτυχημένη, όταν έχει μεγάλο ποσοστό μικτού κέρδους, που να της επιτρέπει να καλύπτει τα λειτουργικά και άλλα έξοδα της και συγχρόνως της αφήνει ικανοποιητικό καθαρό κέρδος σε σχέση με τις πωλήσεις και τα ίδια κεφάλαια που απασχολεί. Ένας υψηλός δείκτης δείχνει την ικανότητα της διοίκησης να επιτυγχάνει φθηνές αγορές και να πουλάει σε υψηλές τιμές ενώ ένας χαμηλός δείκτης δείχνει το αντίθετο.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- 2. ΚΟΣΤΟΥΣ ΠΩΛΗΘΕΝΤΩΝ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Κόστος Πωληθέντων / Πωλήσεις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70,17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254.550,30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το κόστος πωληθέντων με τις πωλήσεις</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σχέση του κόστους των πωληθέντων προϊόντων ή εμπορευμάτων με τις πωλήσεις και μετρά την αποτελεσματικότητα ελέγχου του κόστους πωληθέντων.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- 3. ΛΕΙΤΟΥΡΓΙΚΩΝ ΚΕΡΔΩΝ ΠΡΟΣ ΠΩΛΗΣΕΙΣ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Λειτουργικά κέρδη / Πωλήσεις (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29,83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108.228,52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κέρδη προ χρηματοοικονομικών εξόδων και φόρων με τις πωλήσεις.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την αποδοτικότητα των πωλήσεων από την κανονική δραστηριότητα της επιχείρησης, δηλαδή πόσο επικερδείς είναι οι δραστηριότητες των αγορών, της παραγωγής και διάθεσης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- 4. ΑΠΟΤΕΛΕΣΜΑΤΙΚΟΤΗΤΑΣ ΚΕΦΑΛΑΙΑΚΗΣ ΜΟΧΛΕΥΣΗΣ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%μεταβολής καθαρών κερδών / % μεταβολής αποτελεσμάτων προ τόκων και φόρων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-25,33 / -25,33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το ποσοστό μεταβολής των ολικών αποτελεσμάτων ( κερδών εκμετάλλευσης ) προς το ποσοστό μεταβολής των μερικών αποτελεσμάτων ( κερδών προ τόκων και φόρων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Χρησιμοποιείται στην αξιολόγηση της αποτελεσματικότητας της κεφαλαιακής μόχλευσης από την διοίκηση και στην πρόβλεψη των μεταβολών στα καθαρά κέρδη της επιχείρησης σε σχέση με μεταβολές στα ολικά αποτελέσματα εκμετάλλευσης.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- 5. ΑΠΟΤΕΛΕΣΜΑΤΙΚΟΤΗΤΑΣ ΛΕΙΤΟΥΡΓΙΚΗΣ ΜΟΧΛΕΥΣΗΣ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μεταβολής αποτελεσμάτων προ τόκων και φόρων / % μεταβολής πωλήσεων</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-2,21</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-25,33 / 11,47</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ποσοστό μεταβολής των μερικών αποτελεσμάτων εκμετάλλευσης προ τόκων και φόρων με το ποσοστό μεταβολής των πωλήσεων.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Χρησιμοποιείται στην αξιολόγηση της λειτουργικής μόχλευσης η οποία αναφέρεται στον βαθμό χρησιμοποίησης στοιχείων σταθερού κόστους (π.χ. Πάγια)σε σχέση με στοιχεία του μεταβλητού κόστους (π.χ. Εργατικά) σε μια επιχείρηση με στόχο την πρόβλεψη μελλοντικών διακυμάνσεων των κερδών σε σχέση με πιθανές διακυμάνσεις στον όγκο πωλήσεων.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- 6. ΕΚΜΕΤΑΛΛΕΥΣΗ ΕΝΕΡΓΗΤΙΚΟΥ ή ΟΓΚΟΥ ΠΩΛΗΣΕΩΝ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Πωλήσεις / Σύνολο Ενεργητικού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0,15</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2.487.705,93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πωλήσεις μιας χρήσης με το σύνολο των περιουσιακών στοιχείων της επιχείρησης, που χρησιμοποιούνται κατά τη διάρκεια της ίδιας χρήσης για να πετύχει τις πωλήσεις της.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εκτιμά την εντατικότητα με την οποία χρησιμοποιεί η επιχείρηση τα περιουσιακά της στοιχεία για να επιτύχει τους στόχους πωλήσεων της. Ένας υψηλός δείκτης εκμετάλλευσης ενεργητικού σημαίνει ότι η επιχείρηση χρησιμοποιεί εντατικά τα περιουσιακά της στοιχεία προκειμένου να πραγματοποιεί τις πωλήσεις της. Ένας χαμηλός δείκτης αποτελεί ένδειξη όχι εντατικής χρησιμοποίησης των περιουσιακών της στοιχείων. Ο δείκτης αυτός στην ουσία μας δείχνει εάν υπάρχει υπερεπένδυση κεφαλαίων στην επιχείρηση σε σχέση με το ύψος των πωλήσεων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- 7. ΕΚΜΕΤΑΛΛΕΥΣΗΣ ΠΑΓΙΩΝ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Πωλήσεις / Πάγιο Ενεργητικό καθαρό χρήσης Μ. Ο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0,23</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1.558.895,53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Είναι το πηλίκο της διαίρεσης των πωλήσεων της χρήσης με τον μέσο όρο του συνόλου του παγίου ενεργητικού που χρησιμοποίησε η επιχείρηση στην χρήση.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τον βαθμό χρησιμοποίησης των παγίων περιουσιακών στοιχείων από την επιχείρηση σε σχέση με τις πωλήσεις της. Επίσης παρέχει ένδειξη του εάν υπάρχει υπερεπένδυση σε πάγια. Όσο μεγαλύτερος είναι ο δείκτης, τόσο πιο εντατική είναι η χρησιμοποίηση των παγίων περιουσιακών στοιχείων της επιχείρησης σε σχέση με τις πωλήσεις της. Μείωση του δείκτη αυτού διαχρονικά μπορεί να σημαίνει ότι υπάρχει υπερεπένδυση κεφαλαίων σε πάγια σε σχέση με την δυνατότητα της επιχείρησης για πωλήσεις.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- 8. ΕΚΜΕΤΑΛΛΕΥΣΗΣ ΚΕΦΑΛΑΙΩΝ ΚΙΝΗΣΗΣ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Καθαρές Πωλήσεις / Καθαρό Κεφάλαιο Κίνησης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0,82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443.282,87</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πωλήσεις της χρήσης με το καθαρό κεφάλαιο κίνησης. Καθαρό Κεφάλαιο Κίνησης = Κυκλοφορούν ενεργητικό-Βραχυπρόθεσμες υποχρεώσεις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πόσα € καθαρών πωλήσεων πραγματοποιεί η επιχείρηση για κάθε € καθαρού κεφαλαίου κίνησης που δεν χρηματοδοτήθηκε από τους βραχυπρόθεσμους πιστωτές. Ένας υψηλός δείκτης είναι δυνατόν να αντικατοπτρίζει μια έλλειψη καθαρού κεφαλαίου κίνησης και χαμηλή κυκλοφοριακή ταχύτητα ανανεώσεως των αποθεμάτων ή της ταχύτητας είσπραξης των απαιτήσεων. Μια χαμηλή τιμή του δείκτη είναι δυνατό να είναι αποτέλεσμα ενός πλεονάσματος του καθαρού κεφαλαίου κίνησης, τοποθετημένου σε προσωρινές επενδύσεις.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- 9. ΕΚΜΕΤΑΛΛΕΥΣΗΣ ΙΔΙΩΝ ΚΕΦΑΛΑΙΩΝ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Καθαρές Πωλήσεις / Ίδια Κεφάλαια Μ. Ο χωρίς επιχορηγήσεις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πωλήσεις με το μέσο σύνολο των ιδίων κεφαλαίων της χρήσης χωρίς τις επιχορηγήσεις.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το βαθμό ανακύκλωσης των ιδίων κεφαλαίων της επιχείρησης με βάση τις πωλήσεις. Όσο μεγαλύτερος είναι ο δείκτης τόσο καλύτερη είναι η θέση της επιχειρήσεως, διότι κάνει μεγάλες πωλήσεις με μικρό ύψος ιδίων κεφαλαίων και ενδεχομένως να έχουμε αυξημένα κέρδη. Σε χαμηλή τιμή του δείκτη οι ζημιές θα είναι ανάλογα μεγαλύτερες λόγω των αυξημένων χρηματοοικονομικών εξόδων που δημιουργούν τα ξένα κεφάλαια.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- 10. ΚΑΘΑΡΟΥ ΚΕΡΔΟΥΣ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μετά από φόρους / Πωλήσεις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25,37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92.027,45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καθαρά κέρδη μετά από φόρους με τις πωλήσεις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το ποσοστό καθαρού κέρδους που επιτυγχάνει μια επιχείρηση από τις πωλήσεις της. Όσο μεγαλύτερος είναι ο δείκτης τόσο πιο επικερδής είναι η επιχείρηση.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- 11. ΑΠΟΔΟΤΙΚΟΤΗΤΑΣ ΣΥΝΟΛΙΚΩΝ ΚΕΦΑΛΑΙΩΝ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(καθαρά. Κέρδη + Χρηματοοικονομικά έξοδα) / Συνολικά Κεφάλαια (ίδια+υποχρεώσεις)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4,02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+ 0,00)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καθαρά κέρδη προ χρηματοοικονομικών εξόδων και φόρων με το σύνολο των απασχολουμένων κεφαλαίων στην χρήση.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την αποδοτικότητα της επιχείρησης ανεξάρτητα από τις πηγές προέλευσης των κεφαλαίων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- 12. ΑΠΟΔΟΤΙΚΟΤΗΤΑΣ ΕΝΕΡΓΗΤΙΚΟΥ</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μετά από φόρους / Σύνολο Ενεργητικού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3,66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92.027,45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τα καθαρά κέρδη μετά από φόρους με το σύνολο του ενεργητικού</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μετράει την απόδοση των συνολικών περιουσιακών στοιχείων μιας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- 13. ΑΠΟΔΟΣΗ ΕΠΕΝΔΥΣΕΩΝ(ΕΞΙΣΩΣΗ Du Pont)</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100*(Πωλήσεις / Συν. Ενεργ. )*(Κέρδη προ τόκων και φόρων / Πωλήσεις)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4,02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2.511.146,72 x 101.054,91</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πολλαπλασιάσουμε το πηλίκο της διαίρεσης των πωλήσεων δια του συνόλου του ενεργητικού, με το πηλίκο της διαίρεσης των καθαρών κερδών προ τόκων και φόρων με τις πωλήσεις.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σύνθετος αυτός δείκτης είναι σημαντικός, διότι δείχνει την σπουδαιότητα της ταχύτητας κυκλοφορίας του ενεργητικού και του καθαρού κέρδους μιας επιχείρησης και βοηθά να ανακαλύψουμε πιθανούς τρόπους, με τους οποίους μπορεί να αυξηθούν τα λειτουργικά της κέρδη σε σχέση με το ύψος των απασχολουμένων στην επιχείρηση περιουσιακών στοιχείων. Η αύξηση της απόδοσης του ενεργητικού είναι δυνατόν να επιτευχθεί είτε με: (α) Αύξηση του καθαρού κέρδους από τις πωλήσεις των προϊόντων της, είτε με μείωση του κόστους πωληθέντων, είτε με αύξηση της τιμής πώλησης. (β) Αύξηση της ταχύτητας κυκλοφορίας του ενεργητικού, είτε με αύξηση του όγκου πωλήσεων, είτε με μείωση των απασχολουμένων στην επιχείρηση περιουσιακών στοιχείων.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- 14. ΑΠΟΔΟΣΗΣ ΛΕΙΤΟΥΡΓΙΑΣ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προ τόκων και φόρων / Σύνολο Ενεργητικού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4,02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2.511.146,72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καθαρά κέρδη προ χρηματοοικονομικών εξόδων και φόρων με το σύνολο του ενεργητικού.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αναλογία των αποτελεσμάτων εκμετάλλευσης προς το σύνολο του ενεργητικού. Μετρά την αποδοτικότητα των περιουσιακών στοιχείων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- 15. ΔΕΙΚΤΗΣ ΠΡΟΒΛΕΨΗΣ ΖΗΜΙΩΝ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Πρόβλεψη ζημιών / Σύνολο απαιτήσεων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24,46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174.776,26 / 714.583,93</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σύνολο για προβλέψεις ζημιών με τις συνολικές απαιτήσεις.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παρακολούθηση της τάσης του δείκτη αυτού είναι χρήσιμη για την αξιολόγηση της ρευστότητας των απαιτήσεων. Αύξηση του δείκτη παρέχει ένδειξη αδυναμίας εισπράξεως των απαιτήσεων.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- 16. ΔΕΙΚΤΗΣ ΠΕΡΙΘΩΡΙΟΥ ΠΩΛΗΣΕΩΝ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Κέρδη προ χρηματοοικονομικών εξόδων και φόρων / Πωλήσεις (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27,86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κέρδη προ χρηματοοικονομικών εξόδων και φόρων με τις πωλήσεις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Δείχνει την αποτελεσματικότητα των πωλήσεων και κατ επέκταση της επιχείρησης</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- 17. ΠΩΛΗΣΕΙΣ ΠΡΟΣ ΜΕΣΟ ΥΨΟΣ ΑΠΑΙΤΗΣΕΩΝ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Πωλήσεις / Απαιτήσεις Μ. Ο.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0,52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362.778,82 / 694.024,36</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πωλήσεις της χρήσης με το μέσο σύνολο των απαιτήσεων.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Υψηλός δείκτης σημαίνει μικρό χρόνο δέσμευσης των κεφαλαίων και καλύτερη θέση από άποψη χορήγησης πιστώσεων προς την επιχείρηση.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III - 18. ΜΕΤΑΒΟΛΗ ΠΩΛΗΣΕΩΝ%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(Πωλήσεις τρέχουσας - προηγούμενης) /πωλήσεις προηγούμενης χρήσης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11,47</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( 362.778,82 - 325.455,49 ) / 325.455,49</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την μεταβολή των πωλήσεων της τρέχουσας από την προηγούμενη χρήση.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pageBreakBefore w:val="1"/>
              <w:spacing w:lineRule="auto" w:line="240" w:after="0"/>
              <w:rPr>
                <w:rFonts w:ascii="Calibri" w:hAnsi="Calibri"/>
                <w:b w:val="1"/>
                <w:color w:val="0000FF"/>
                <w:sz w:val="28"/>
                <w:u w:val="single"/>
              </w:rPr>
            </w:pPr>
            <w:r>
              <w:rPr>
                <w:rFonts w:ascii="Calibri" w:hAnsi="Calibri"/>
                <w:b w:val="1"/>
                <w:color w:val="0000FF"/>
                <w:sz w:val="28"/>
                <w:u w:val="single"/>
              </w:rPr>
              <w:t>IV. ΔΕΙΚΤΕΣ ΕΞΟΔΩΝ</w:t>
            </w: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14670" w:type="dxa"/>
            <w:gridSpan w:val="3"/>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- 1. ΣΥΝΤΗΡΗΣΗΣ ΠΑΓΙΩΝ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xml:space="preserve">Έξοδα συντήρησης &amp; Επισκευών / αξία κτήσεως παγίων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1.574.637,58</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- 2. ΕΞΟΔΩΝ ΛΕΙΤΟΥΡΓΙΑΣ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Έξοδα Λειτουργίας / Πωλήσεις Καθαρές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1,99</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7.234,91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Υπολογίζεται εάν διαιρέσουμε τα έξοδα λειτουργίας ( διοίκησης +έρευνας +διάθεσης) με της πωλήσεις της χρήσης</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εκφράζει την σχέση που υπάρχει ανάμεσα στα έξοδα λειτουργίας της επιχείρησης και στις πωλήσεις που αυτή πραγματοποιεί. Επίσης φανερώνει την δυνατότητα της διοίκησης της επιχείρησης να διαμορφώνει τα έξοδα της ανάλογα με τις πωλήσεις της.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- 3. ΑΠΟΔΟΣΗΣ ΠΡΟΣΩΠΙΚΟΥ </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Αμοιβές &amp;Έξοδα προσωπικού/ καθαρές πωλήσεις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τις αμοιβές και τα έξοδα του προσωπικού με τις πωλήσεις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έμμεσα την επίδραση που ασκούν οι αμοιβές των απασχολουμένων στην επιχείρηση επί των κερδών αυτών.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- 4. ΛΕΙΤΟΥΡΓΙΚΩΝ ή ΟΡΓΑΝΙΚΩΝ ΕΞΟΔΩΝ </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Κόστος Λειτουργίας / Πωλήσεις Καθαρές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72,16</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261.785,21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κόστος λειτουργίας (έξοδα λειτουργίας +κόστος πωληθέντων) με τις πωλήσεις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Όσο μεγαλύτερος είναι αυτός ο δείκτης τόσο μικρότερη είναι η αποδοτικότητα της επιχείρησης, διότι το ποσοστό λειτουργικών κερδών που παραμένει σε αυτή βρίσκεται σε σημείο τέτοιο που πιθανόν να μην φθάνει για να εξυπηρετήσει τα χρηματοοικονομικά και τα άλλα έξοδα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- 5. ΑΠΟΣΒΕΣΕΙΣ ΠΡΟΣ ΠΩΛΗΣΕΙΣ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Αποσβέσεις Χρήσεως / Πωλήσεις Καθαρές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0,00</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0,00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της αποσβέσεις της χρήσης με το σύνολο των πωλήσεων της χρήσης.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δείκτης αυτός δείχνει το ποσοστό πωλήσεων που απορροφάται από τις αποσβέσεις.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- 6. ΚΕΡΔΗ ΠΡΟΣ ΑΜΟΙΒΕΣ ΑΠΑΣΧΟΛΟΥΜΕΝΩΝ</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Καθαρά κέρδη(προ φόρων) / Αμοιβές απασχολουμένων ( % )</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Δεν υπολογίζεται λόγω έλλειψης στοιχείων</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101.054,91 / 0,00</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τα καθαρά κέρδη προ φόρων με τις συνολικές αμοιβές των απασχολουμένων.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έμμεσα την επίδραση των αμοιβών στα καθαρά κέρδη της επιχείρησης.  </w:t>
            </w:r>
          </w:p>
        </w:tc>
      </w:tr>
      <w:tr>
        <w:trPr>
          <w:jc w:val="center"/>
        </w:trPr>
        <w:tc>
          <w:tcPr>
            <w:tcW w:w="14670" w:type="dxa"/>
            <w:gridSpan w:val="3"/>
            <w:tcBorders>
              <w:top w:val="single" w:sz="6" w:space="0" w:shadow="0" w:frame="0" w:color="000000"/>
            </w:tcBorders>
            <w:shd w:val="clear" w:color="auto" w:fill="FFFFFF"/>
            <w:vAlign w:val="center"/>
          </w:tcPr>
          <w:p>
            <w:pPr>
              <w:spacing w:lineRule="auto" w:line="240" w:after="0"/>
              <w:rPr>
                <w:rFonts w:ascii="Calibri" w:hAnsi="Calibri"/>
                <w:b w:val="1"/>
                <w:color w:val="0000FF"/>
                <w:sz w:val="28"/>
                <w:u w:val="single"/>
              </w:rPr>
            </w:pPr>
          </w:p>
        </w:tc>
      </w:tr>
      <w:tr>
        <w:trPr>
          <w:jc w:val="center"/>
        </w:trPr>
        <w:tc>
          <w:tcPr>
            <w:tcW w:w="759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5430" w:type="dxa"/>
          </w:tcPr>
          <w:p>
            <w:pPr>
              <w:spacing w:lineRule="auto" w:line="240" w:after="0"/>
              <w:rPr>
                <w:rFonts w:ascii="Calibri" w:hAnsi="Calibri"/>
                <w:sz w:val="18"/>
              </w:rPr>
            </w:pPr>
          </w:p>
        </w:tc>
      </w:tr>
      <w:tr>
        <w:trPr>
          <w:jc w:val="center"/>
        </w:trPr>
        <w:tc>
          <w:tcPr>
            <w:tcW w:w="14670" w:type="dxa"/>
            <w:gridSpan w:val="3"/>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b w:val="1"/>
                <w:color w:val="000000"/>
              </w:rPr>
            </w:pPr>
            <w:r>
              <w:rPr>
                <w:rFonts w:ascii="Calibri" w:hAnsi="Calibri"/>
                <w:b w:val="1"/>
                <w:color w:val="000000"/>
              </w:rPr>
              <w:t xml:space="preserve">  IV - 7. ΔΕΙΚΤΗΣ ΕΚΜΕΤΑΛΛΕΥΣΗΣ</w:t>
            </w:r>
          </w:p>
        </w:tc>
      </w:tr>
      <w:tr>
        <w:trPr>
          <w:jc w:val="center"/>
        </w:trPr>
        <w:tc>
          <w:tcPr>
            <w:tcW w:w="759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(Κόστος Πωληθέντων +Οργανικά έξοδα) / καθαρές πωλήσεις</w:t>
            </w:r>
          </w:p>
        </w:tc>
        <w:tc>
          <w:tcPr>
            <w:tcW w:w="165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 xml:space="preserve"> 0,72</w:t>
            </w:r>
          </w:p>
        </w:tc>
        <w:tc>
          <w:tcPr>
            <w:tcW w:w="5430" w:type="dxa"/>
            <w:vMerge w:val="restart"/>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( 254.550,30 + 7.234,91 ) / 362.778,82</w:t>
            </w:r>
          </w:p>
        </w:tc>
      </w:tr>
      <w:tr>
        <w:trPr>
          <w:jc w:val="center"/>
        </w:trPr>
        <w:tc>
          <w:tcPr>
            <w:tcW w:w="759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Υπολογίζεται εάν διαιρέσουμε το άθροισμα του κόστους πωληθέντων και των οργανικών εξόδων (διοίκηση + διάθεση + έρευνα + χρηματοοικονομικά) με τις πωλήσεις.  </w:t>
            </w:r>
          </w:p>
        </w:tc>
        <w:tc>
          <w:tcPr>
            <w:tcW w:w="165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c>
          <w:tcPr>
            <w:tcW w:w="5430" w:type="dxa"/>
            <w:vMerge w:val="continue"/>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rPr>
            </w:pPr>
          </w:p>
        </w:tc>
      </w:tr>
      <w:tr>
        <w:trPr>
          <w:jc w:val="center"/>
        </w:trPr>
        <w:tc>
          <w:tcPr>
            <w:tcW w:w="14670" w:type="dxa"/>
            <w:gridSpan w:val="3"/>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Δείχνει τη σχέση του συνολικού κόστους εκμετάλλευσης (πλην έκτακτων και ανόργανων εξόδων και εσόδων ) με τις πωλήσεις, και εκφράζει το ποσοστό των καθαρών πωλήσεων που απορροφάται από το συνολικό κόστος εκμετάλλευσης. Με τον δείκτη αυτό έχουμε σαφή ένδειξη του εάν μια επιχείρηση έχει την ικανότητα να δημιουργεί κέρδη.  </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4"/>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VI.Εξέλιξη Ισολογισμού (Πλήρης)</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6555" w:type="dxa"/>
            <w:gridSpan w:val="2"/>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DEMO COMPANY</w:t>
            </w: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r>
      <w:tr>
        <w:trPr>
          <w:jc w:val="center"/>
        </w:trPr>
        <w:tc>
          <w:tcPr>
            <w:tcW w:w="6555" w:type="dxa"/>
            <w:gridSpan w:val="2"/>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ΕΞΕΛΙΞΗ ΙΣΟΛΟΓΙΣΜΟΥ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2019 - 2020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2019 - 2020 %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2020 - 2021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2020 - 2021 %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2021 - 2022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2021 - 2022 %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2022 - 2023</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2022 - 2023 %</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ΠΑΓΙΟ 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Ενσώματα πάγια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952,00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952,55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0,55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-952,53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332,20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332,18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1.660.900,00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1.985,24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1.653,04</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497,60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Αυλα πάγια στοιχεία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443.872,23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426.484,23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-17.388,00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-3,92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313.424,65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-113.059,58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-26,51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435.009,97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121.585,32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38,79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324.622,97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-110.387,00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-25,38</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Αναβαλλόμενοι φόροι</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Προκαταβολές και μη κυκλοφορούντα στοιχεία υπό κατασκευή</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399.000,00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716.531,16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317.531,16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79,58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716.531,16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1.066.531,16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350.000,00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48,85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1.206.749,22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140.218,06</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13,15</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Χρηματοοικονομικά περιουσιακά στοιχεία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27.949,48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19.713,48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-8.236,00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-29,47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19.713,48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41.280,15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21.566,67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109,40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41.280,15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0,00</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ΠΑΓΙΟΥ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871.773,71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1.163.681,42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291.907,71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33,48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1.049.669,31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-114.012,11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-9,80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1.543.153,48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493.484,17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47,01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1.574.637,58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31.484,10</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ΚΥΚΛΟΦΟΡΟΥΝ 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Αποθέματα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Εμπορικές απαιτησεις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566.782,94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466.749,45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-100.033,49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578.008,14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111.258,69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23,84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673.464,79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95.456,65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16,51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714.583,93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41.119,14</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6,11</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Δουλευμένα έσοδα περιόδου</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239.000,00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36.865,28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-202.134,72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-84,58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-36.865,28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απαιτήσεις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213.725,39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14.238,88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-199.486,51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-93,34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172.951,73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158.712,85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1.114,64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164.581,41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-8.370,32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-4,84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190.298,36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25.716,95</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15,63</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Εμπορικό χαρτοφυλάκιο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65.970,65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59.630,65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-6.340,00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-9,61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-59.630,65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Προπληρωμένα έξοδα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11.324,79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-11.324,79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Ταμειακά διαθέσιμα και ισοδύναμα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27.511,06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27.507,96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266.544,67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239.036,71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868,97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83.065,46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-183.479,21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-68,84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31.626,85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-51.438,61</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-61,93</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ΚΥΚΛΟΦΟΡΟΥΝΤΟΣ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1.124.314,83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604.992,22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-519.322,61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-46,19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1.017.504,54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412.512,32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68,18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921.111,66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-96.392,88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-9,47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936.509,14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15.397,48</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1,67</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ΓΕΝΙΚΟ ΣΥΝΟΛΟ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1.996.088,54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1.768.673,64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-227.414,90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-11,39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2.067.173,85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298.500,21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16,88</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2.464.265,14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397.091,29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2.511.146,72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46.881,58</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1,90</w:t>
            </w:r>
          </w:p>
        </w:tc>
      </w:tr>
      <w:tr>
        <w:trPr>
          <w:jc w:val="center"/>
        </w:trPr>
        <w:tc>
          <w:tcPr>
            <w:tcW w:w="4635"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ΠΑΘΗΤΙΚΟ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2019 - 2020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2019 - 2020 %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2020 - 2021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2020 - 2021 %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2021 - 2022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2021 - 2022 %</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2022 - 2023</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2022 - 2023 %</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Καθαρή θέση</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Καταβληθέντα κεφάλαια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Διαφορές εύλογης αξίας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Αποθεματικά και αποτελέσματα εις νέο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364.368,16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366.255,85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1.887,69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377.208,22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10.952,37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2,99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445.068,89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67.860,67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17,99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463.074,56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18.005,67</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4,05</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Δικαιώματα που δεν ακούν έλεγχο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Καθαρή θέση ιδιοκτητών μητρικής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Συναλλαγματικές διαφορές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Σύνολο καθαρής θέσης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954.303,16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956.190,85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1.887,69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967.143,22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10.952,37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1.035.003,89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67.860,67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7,02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1.053.009,56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18.005,67</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1,74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Προβλέψεις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ΥΠΟΧΡΕΩΣΕΙΣ</w:t>
            </w: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ΜΑΚΡΟΠΡΟΘΕΣΜΕΣ ΥΠΟΧΡΕΩΣΕΙΣ</w:t>
            </w: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Έντοκα Δάνεια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349.940,89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158.200,47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-191.740,42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-3.086,58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Μακροπρόθεσμες Υποχρεώσεις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112.609,67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112.609,67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249.714,25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137.104,58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121,75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878.844,30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629.130,05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251,94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807.020,74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-71.823,56</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-8,17</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ΜΑΚΡ/ΜΩΝ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462.550,56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270.810,14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-191.740,42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-41,45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404.828,14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134.018,00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49,49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1.033.958,19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629.130,05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155,41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962.134,63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-71.823,56</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-6,95</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ΒΡΑΧΥΠΡΟΘΕΣΜΕΣ ΥΠΟΧΡΕΩΣΕΙΣ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Έντοκα Δάνεια, Βραχυπρόθεσμα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265.036,37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266.812,41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1.776,04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261.083,30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-5.729,11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247.903,27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-13.180,03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-5,05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206.248,27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-41.655,00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-16,80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Τρέχων Φόρος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2.093,90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3.311,89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1.217,99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58,17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4.237,88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925,99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27,96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2.037,29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-2.200,59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-51,93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9.027,46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6.990,17</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343,11</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Προμηθευτές &amp; Λοιποί Πληρωτέοι Λογαρ. Βραχυπρ</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-84.856,97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-85.873,02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-1.016,05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85.873,02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Υποχρεώσεις, Βραχυπρόθεσμες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394.185,26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354.645,11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-39.540,15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427.105,05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72.459,94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20,43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142.586,24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-284.518,81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-66,62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277.950,54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135.364,30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94,94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ΒΡΑΧΥΠΡΟΘΕΣΜΩΝ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576.458,56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538.896,39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-37.562,17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-6,52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692.426,23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153.529,84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28,49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392.526,80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-299.899,43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-43,31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493.226,27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100.699,47</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25,65</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1.039.009,12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809.706,53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-229.302,59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-22,07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1.097.254,37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287.547,84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35,51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1.426.484,99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329.230,62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30,00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1.455.360,90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28.875,91</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2,02</w:t>
            </w:r>
          </w:p>
        </w:tc>
      </w:tr>
      <w:tr>
        <w:trPr>
          <w:jc w:val="center"/>
        </w:trPr>
        <w:tc>
          <w:tcPr>
            <w:tcW w:w="4635"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ΓΕΝΙΚΟ ΣΥΝΟΛΟ ΠΑΘΗΤΙΚΟΥ</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1.996.088,54</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1.768.673,64</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-227.414,90</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-11,39</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2.067.173,85</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298.500,21</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16,88</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2.464.265,14</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397.091,29</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19,21</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2.511.146,72</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46.881,58</w:t>
            </w:r>
          </w:p>
        </w:tc>
        <w:tc>
          <w:tcPr>
            <w:tcW w:w="192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1,90</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5"/>
          <w:type w:val="nextPage"/>
          <w:pgSz w:w="16839" w:h="11907" w:code="9" w:orient="landscape"/>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VII.Εξέλιξη Αποτ. Χρήσης (Πλήρης)</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r>
      <w:tr>
        <w:trPr>
          <w:jc w:val="center"/>
        </w:trPr>
        <w:tc>
          <w:tcPr>
            <w:tcW w:w="7860" w:type="dxa"/>
            <w:gridSpan w:val="3"/>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DEMO COMPANY</w:t>
            </w: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r>
      <w:tr>
        <w:trPr>
          <w:jc w:val="center"/>
        </w:trPr>
        <w:tc>
          <w:tcPr>
            <w:tcW w:w="7860" w:type="dxa"/>
            <w:gridSpan w:val="3"/>
            <w:shd w:val="clear" w:color="auto" w:fill="FFFFFF"/>
            <w:vAlign w:val="center"/>
          </w:tcPr>
          <w:p>
            <w:pPr>
              <w:spacing w:lineRule="auto" w:line="240" w:after="0"/>
              <w:jc w:val="center"/>
              <w:rPr>
                <w:rFonts w:ascii="Calibri" w:hAnsi="Calibri"/>
                <w:b w:val="1"/>
                <w:sz w:val="18"/>
              </w:rPr>
            </w:pPr>
            <w:r>
              <w:rPr>
                <w:rFonts w:ascii="Calibri" w:hAnsi="Calibri"/>
                <w:b w:val="1"/>
                <w:sz w:val="18"/>
              </w:rPr>
              <w:t>ΚΑΤΑΣΤΑΣΗ ΕΞΕΛΙΞΗΣ ΑΠΟΤΕΛΕΣΜΑΤΩΝ ΧΡΗΣΗΣ</w:t>
            </w: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r>
      <w:tr>
        <w:trPr>
          <w:jc w:val="center"/>
        </w:trPr>
        <w:tc>
          <w:tcPr>
            <w:tcW w:w="7860" w:type="dxa"/>
            <w:gridSpan w:val="3"/>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ΑΠΟΤΕΛΕΣΜΑΤΑ ΧΡΗΣΗΣ</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2019</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2020</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2019 - 2020</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2019 - 2020 %</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2021</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2020 - 2021</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2020 - 2021 %</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2022</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2021 - 2022</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2021 - 2022 %</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2023</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2022 - 2023</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2022 - 2023 %</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Κύκλος εργασιών (καθαρός)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312.117,70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94.743,58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-217.374,12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-69,64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276.441,52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181.697,94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191,78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325.455,49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49.013,97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17,73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362.778,82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37.323,33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11,47</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Κόστος Πωλήσεων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166.824,13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56.705,76</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-110.118,37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-66,01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160.959,94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104.254,18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183,85</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258.697,67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97.737,73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60,72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254.550,30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-4.147,37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Μικτό αποτέλεσμα</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145.293,57</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38.037,82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-107.255,75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-73,82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115.481,58</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77.443,76</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203,60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66.757,82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-48.723,76</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-42,19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108.228,52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41.470,70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62,12</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Λοιπα συνήθη έσοδα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1.248,51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1.248,51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124.851,00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592,59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-655,92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-52,54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23,98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-568,61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-95,95</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61,30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37,32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155,63</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Λειτουργικά εξοδα</w:t>
            </w: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Εξοδα διοίκησης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14.265,14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12.575,41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-1.689,73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-11,85</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-12.575,41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Εξοδα διάθεσης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12.386,51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13.287,92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901,41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7,28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-13.287,92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Λοιπά έξοδα και ζημίες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61.865,28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61.865,28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6.186.528,00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-61.865,28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7.234,91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7.234,91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723.491,00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Απομειώσεις περιουσιακών στοιχείων (καθαρό ποσό)</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Εσοδα (Εξοδα) από επενδύσεις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Κέρδη και ζημίες από διάθεση μη κυκλοφορούντων στοιχείων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Κέρδη και ζημίες από απομέτρηση στην εύλογη αξία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Αποτελέσματα από συγγενείς κοινοπραξίες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Κέρδος από αγορά οντότητας ή τμήματος σε τιμή ευκαιρίας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Εσοδα επενδύσεων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Λοιπά έσοδα και κέρδη</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Αποσβέσεις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τόκων, φόρων και αποσβ. (EBITDA)</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280.074,75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13.423,00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-266.651,75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-95,21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54.208,89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40.785,89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303,85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135.334,09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81.125,20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149,65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101.054,91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-34.279,18</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-25,33</w:t>
            </w:r>
          </w:p>
        </w:tc>
      </w:tr>
      <w:tr>
        <w:trPr>
          <w:jc w:val="center"/>
        </w:trPr>
        <w:tc>
          <w:tcPr>
            <w:tcW w:w="420" w:type="dxa"/>
            <w:shd w:val="clear" w:color="auto" w:fill="FFFFFF"/>
            <w:vAlign w:val="center"/>
          </w:tcPr>
          <w:p>
            <w:pPr>
              <w:spacing w:lineRule="auto" w:line="240" w:after="0"/>
              <w:rPr>
                <w:rFonts w:ascii="Calibri" w:hAnsi="Calibri"/>
                <w:b w:val="1"/>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Αποσβέσεις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Απομειώσεις περιουσιακών στοιχείων (καθαρό ποσό)</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τόκων και φόρων</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118.641,92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13.423,00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-105.218,92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-88,69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54.208,89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40.785,89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303,85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135.334,09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81.125,20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149,65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101.054,91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-34.279,18</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-25,33</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Πιστωτικοί τόκοι και συναφή έσοδα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Χρεωστικοί τόκοι και συναφή έξοδα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φόρων</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118.641,92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13.423,00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-105.218,92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-88,69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54.208,89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40.785,89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303,85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135.334,09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81.125,20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149,65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101.054,91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-34.279,18</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-25,33</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Φόροι Εισοδήματος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2.093,90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3.311,89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1.217,99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58,17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4.237,88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925,99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27,96</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2.037,29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-2.200,59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-51,93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9.027,46</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6.990,17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343,11</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Αποτέλεσμα περιόδου μετά από φόρους</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116.548,02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10.111,11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-106.436,91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-91,32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49.971,01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39.859,90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394,22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133.296,80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83.325,79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166,75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92.027,45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-41.269,35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-30,96</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Στους ιδιοκτήτες στη μητρική</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Σε δικαιώματα που δεν ασκούν έλεγχο</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6"/>
          <w:type w:val="nextPage"/>
          <w:pgSz w:w="16839" w:h="11907" w:code="9" w:orient="landscape"/>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VIII.Αριθμοδείκτες (Ποσά)</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65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65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ΕΞΕΛΙΞΗ ΑΡΙΘΜΟΔΕΙΚΤΩΝ ΤΗΣ ΕΤΑΙΡΕΙΑΣ</w:t>
            </w: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 ΔΕΙΚΤΕΣ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ΓΕΝΙΚΗΣ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ενεργητικό 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ΑΜΕΣΗΣ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ενεργ. - Απόθεμα)Μ.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ΤΑΜΙΑΚΗΣ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0,32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Διαθέσιμα 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ΑΝΑΚΥΚΛΩΣΗΣ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Ετήσιες Πωλήσεις / Απαιτήσεις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5. ΜΕΣΟΣ ΧΡΟΝΟΣ ΕΙΣΠΡΑΞΗΣ ΑΠΑΙΤΗΣΕΩΝ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1.990,84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689,72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701,77</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698,27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(Απαιτήσεις Μ. Ο * 365 ημέρες) / Ετήσιες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ΑΝΑΚΥΚΛΩΣΗ ΑΠΟΘΕΜΑΤΩΝ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Κόστος Πωληθέντων / Αποθέματα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ΜΕΣΟΣ ΧΡΟΝΟΣ ΠΑΡΑΜΟΝΗΣ ΑΠΟΘΕΜΑΤΩΝ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(Μέσα αποθέματα*365 ημέρες) / Κόστος πωληθέντων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ΑΝΑΚΥΚΛΩΣΗ ΒΡΑΧΥΧΡΟΝΙΩΝ ΥΠΟΧΡΕΩΣΕΩΝ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(Κόστος Πωληθέντων-Αποσβέσεις) / Μ. Ο. Βραχυχρονίων υποχρεώσεων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ΧΡΟΝΟΣ ΕΞΟΦΛΗΣΗΣ ΒΡΑΧΥΧΡΟΝΙΩΝ ΥΠΟΧΡΕΩΣΕΩΝ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3.589,62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1.396,10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765,39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635,04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(Μ. Ο Βραχυχρονίων υποχρεώσ*365 ημέρες) /( Κόστος πωληθέντων-Αποσβέσεις)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ΑΜΥΝΤΙΚΟΥ ΧΡΟΝΙΚΟΥ ΔΙΑΣΤΗΜΑΤΟΣ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3.822,24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1.328,87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1.367,61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1.295,02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Μ. Ο - Απόθεμα Μ. Ο) / Μ. Ο. ημερήσια Λειτουργικά έξοδα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ΠΟΣΟΣΤΟΥ ΕΠΙΣΦΑΛΩΝ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(επισφαλείς + Επίδικες απαιτήσεις) / Σύνολο Απαιτήσεων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ΗΜΕΡΩΝ ΚΑΛΥΨΗΣ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((Βραχυπρ. υποχρ. -(Κυκλοφορούν Ενεργ. -Αποθέματα))/(Κεφ. Κίν. από τις εργασίες της Επιχείρησης)) * 365 ημέρες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ΧΡΟΝΙΚΗ ΚΑΛΥΨΗ ΥΠΟΧΡΕΩΣΕΩΝ ΣΕ ΜΕΤΡΗΤΑ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1,29</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Βραχυπρόθεσμες υποχρεώσεις που λήγουν σε 30 ημέρες / Διαθεσιμότητα μετρητών σε 30 ημέρες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II. ΔΕΙΚΤΕΣ ΚΕΦΑΛΑΙΑΚΗΣ ΔΟΜΗΣ &amp; ΒΙΩΣΙΜΟΤΗΤΑΣ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ΣΧΕΣΕΩΝ ΚΕΦΑΛΑΙΩΝ (Αυτονομίας)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47,81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54,06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46,79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41,93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συνολικά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ΥΠΕΡΧΡΕΩΣΗΣ (Ξένα προς Ίδια Κεφάλαια)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108,88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84,68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113,45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137,82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138,21</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Ξένα Κεφάλαια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ΧΡΗΜΑΤΟΔΟΤΗΣΗΣ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109,47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82,17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92,14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67,07</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66,87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Καθαρή αξία παγίων(%)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ΚΥΚΛΟΦΟΡΟΥΝΤΟΣ ΕΝΕΡΓΗΤΙΚΟΥ ΠΡΟΣ ΥΠΟΧΡΕΩΣΕΙΣ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0,93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Κυκλοφορούν Ενεργητικό / Σύνολο Υποχρεώσεων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ΔΑΝΕΙΑΚΗΣ ΕΠΙΒΑΡΥΝΣΗΣ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52,05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45,78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57,89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57,96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Δανειακές Υποχρεώσεις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ΠΑΓΙΩΝ ΠΡΟΣ ΜΑΚΡΟΠΡΟΘΕΣΜΕΣ ΥΠΟΧΡΕΩΣΕΙΣ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4,30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Καθαρή αξία παγίων / Μακροπρόθεσμες Υποχρεώσεις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ΠΑΓΙΑ ΠΡΟΣ ΣΥΝΟΛΟ ΠΑΘΗΤΙΚΟΥ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Καθαρή αξία παγίων / Σύνολο Παθητικού</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ΠΑΛΑΙΟΤΗΤΑ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Σύνολο Αποσβέσεων Παγίων Ισολογισμού/ Αξία Κτήσεως Παγίων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ΑΥΤΟΧΡΗΜΑΤΟΔΟΤΗΣΗΣ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0,78</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Αποθεματικά / Μετοχοποιημένα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ΚΑΛΥΨΗΣ ΤΟΚΩΝ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&amp;Φόρων / Τόκοι</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ΑΝΑΝΕΩΣΗΣ ΠΑΓΙΟΥ ΕΞΟΠΛΙΣΜΟΥ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Αποσβέσεις περιόδου / Μεταβολή Παγίων περιόδου Μ. Ο προ αποσβέσεων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ΚΑΛΥΨΗΣ ΧΡΗΜΑΤΟΟΙΚΟΝΟΜΙΚΩΝ ΕΞΟΔΩΝ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&amp;Φόρων / Ετήσια χρηματοοικονομικά Έξοδα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ΑΠΟΔΟΣΗΣ ΣΥΝΟΛΟΥ ΑΠΑΣΧΟΛΟΥΜΕΝΩΝ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(Κέρδη προ φόρων +χρηματοοικονομικά έξοδα) / Σύνολο Παθητικού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14. ΑΠΟΔΟΣΗΣ ΙΔΙΩΝ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12,43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13,08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9,60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Καθαρά αποτελ. προ φόρων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15. ΠΕΡΙΘΩΡΙΟ ΚΕΦΑΛΑΙΑΚΗΣ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209,17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184,97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213,74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238,09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238,47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Αποδοτικότητα Ιδίων / Αποδοτικότητα Απασχολουμένων Κεφαλαίων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16. ΔΙΑΡΚΕΙΑΣ ΕΞΟΦΛΗΣΗΣ ΕΠΕΝΔΥΣΕΩΝ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86,69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19,36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11,40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15,58</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Καθαρά πάγια / Ταμιακή ροή</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17. ΠΟΣΟΣΤΟΥ ΑΥΤΟΧΡΗΜΑΤΟΔΟΤΗΣΗΣ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89,73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41,58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Ταμιακή ροή / Πωλήσεις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18. ΙΔΙΑ ΠΡΟΣ ΞΕΝΑ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0,92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Ξένα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19. ΜΑΚΡΟΠΡΟΘΕΣΜΟΥ ΔΑΝΕΙΣΜΟΥ ΠΡΟΣ ΙΔΙΑ ΚΕΦΑΛΑΙΑ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48,47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28,32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41,86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99,90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91,37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Μακροπρόθεσμες υποχρεώσεις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III. ΔΕΙΚΤΕΣ ΑΠΟΔΟΤΙΚΟΤΗΤΑΣ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ΜΙΚΤΟΥ ΚΕΡΔΟΥΣ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40,15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41,77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20,51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29,83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(Πωλήσεις - Κόστος Πωληθέντων)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ΚΟΣΤΟΥΣ ΠΩΛΗΘΕΝΤΩΝ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53,45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58,23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79,49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70,17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Πωληθέντων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ΛΕΙΤΟΥΡΓΙΚΩΝ ΚΕΡΔΩΝ ΠΡΟΣ ΠΩΛΗΣΕΙΣ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41,77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20,51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29,83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Λειτουργικά κέρδη / Πωλήσεις (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ΑΠΟΤΕΛΕΣΜΑΤΙΚΟΤΗΤΑΣ ΚΕΦΑΛΑΙΑΚΗΣ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%μεταβολής καθαρών κερδών / % μεταβολής αποτελεσμάτων προ τόκων και φόρων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ΑΠΟΤΕΛΕΣΜΑΤΙΚΟΤΗΤΑΣ ΛΕΙΤΟΥΡΓΙΚΗΣ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8,44</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-2,21</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μεταβολής αποτελεσμάτων προ τόκων και φόρων / % μεταβολής πωλήσεων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ΕΚΜΕΤΑΛΛΕΥΣΗ ΕΝΕΡΓΗΤΙΚΟΥ ή ΟΓΚΟΥ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0,14</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0,15</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Σύνολο Ενεργητικού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ΕΚΜΕΤΑΛΛΕΥΣΗΣ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Πάγιο Ενεργητικό καθαρό χρήσης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ΕΚΜΕΤΑΛΛΕΥΣΗΣ ΚΕΦΑΛΑΙΩΝ ΚΙΝΗΣΗΣ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Καθαρές Πωλήσεις / Καθαρό Κεφάλαιο Κίνησης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ΚΑΘΑΡΟΥ ΚΕΡΔΟΥΣ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37,34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40,96</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25,37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μετά από φόρους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ΑΠΟΔΟΤΙΚΟΤΗΤΑΣ ΣΥΝΟΛΙΚΩΝ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(καθαρά. Κέρδη + Χρηματοοικονομικά έξοδα) / Συνολικά Κεφάλαια (ίδια+υποχρεώσεις)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ΑΠΟΔΟΤΙΚΟΤΗΤΑΣ ΕΝΕΡΓΗΤΙΚΟΥ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μετά από φόρους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ΑΠΟΔΟΣΗ ΕΠΕΝΔΥΣΕΩΝ(ΕΞΙΣΩΣΗ Du Pont)</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100*(Πωλήσεις / Συν. Ενεργ. )*(Κέρδη προ τόκων και φόρων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ΑΠΟΔΟΣΗΣ ΛΕΙΤΟΥΡΓΙΑΣ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και φόρων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14. ΔΕΙΚΤΗΣ ΠΡΟΒΛΕΨΗΣ ΖΗΜΙΩΝ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24,46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Πρόβλεψη ζημιών / Σύνολο απαιτήσεων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15. ΔΕΙΚΤΗΣ ΠΕΡΙΘΩΡΙΟΥ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41,58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χρηματοοικονομικών εξόδων και φόρων / Πωλήσεις (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16. ΠΩΛΗΣΕΙΣ ΠΡΟΣ ΜΕΣΟ ΥΨΟΣ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Απαιτήσεις Μ. Ο.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17. ΜΕΤΑΒΟΛΗ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-69,64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191,78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17,73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11,47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τρέχουσας - προηγούμενης) /πωλήσεις προηγούμενης χρήσης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IV. ΔΕΙΚΤΕΣ ΕΞΟΔΩΝ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ΣΥΝΤΗΡΗΣΗΣ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Έξοδα συντήρησης &amp; Επισκευών / αξία κτήσεως παγίων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ΕΞΟΔΩΝ ΛΕΙΤΟΥΡΓΙΑΣ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8,54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27,30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22,38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1,99</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Έξοδα Λειτουργίας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3. ΑΠΟΔΟΣΗΣ ΠΡΟΣΩΠΙΚΟΥ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Αμοιβές &amp;Έξοδα προσωπικού/ καθαρές πωλήσεις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4. ΛΕΙΤΟΥΡΓΙΚΩΝ ή ΟΡΓΑΝΙΚΩΝ ΕΞΟΔΩΝ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61,99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87,15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80,60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79,49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72,16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Λειτουργίας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ΑΠΟΣΒΕΣΕΙΣ ΠΡΟΣ ΠΩΛΗΣΕΙΣ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51,72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Αποσβέσεις Χρήσεως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ΔΕΙΚΤΗΣ ΕΚΜΕΤΑΛΛΕΥΣΗΣ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Πωληθέντων +Οργανικά έξοδα) / καθαρές πωλήσεις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0" w:type="auto"/>
            <w:gridSpan w:val="6"/>
            <w:tcBorders>
              <w:top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 xml:space="preserve"> Ποσά σε  Ευρώ (?)</w:t>
            </w:r>
          </w:p>
        </w:tc>
      </w:tr>
    </w:tbl>
    <w:p>
      <w:pPr>
        <w:spacing w:lineRule="auto" w:line="240" w:after="0"/>
        <w:jc w:val="center"/>
        <w:rPr>
          <w:rFonts w:ascii="Calibri" w:hAnsi="Calibri"/>
          <w:color w:val="000000"/>
          <w:sz w:val="16"/>
        </w:rPr>
      </w:pPr>
    </w:p>
    <w:p>
      <w:pPr>
        <w:spacing w:lineRule="auto" w:line="240" w:after="0"/>
        <w:jc w:val="center"/>
        <w:rPr>
          <w:rFonts w:ascii="Calibri" w:hAnsi="Calibri"/>
          <w:sz w:val="18"/>
        </w:rPr>
      </w:pPr>
    </w:p>
    <w:sectPr>
      <w:headerReference xmlns:r="http://schemas.openxmlformats.org/officeDocument/2006/relationships" w:type="default" r:id="RelHdr7"/>
      <w:type w:val="nextPage"/>
      <w:pgSz w:w="11907" w:h="16839" w:code="9"/>
      <w:pgMar w:left="850" w:right="850" w:top="567" w:bottom="1133"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Calibri" w:hAnsi="Calibri"/>
        <w:b w:val="0"/>
        <w:color w:val="808080"/>
        <w:sz w:val="16"/>
      </w:rPr>
    </w:pPr>
    <w:r>
      <w:rPr>
        <w:rFonts w:ascii="Calibri" w:hAnsi="Calibri"/>
        <w:b w:val="0"/>
        <w:color w:val="808080"/>
        <w:sz w:val="16"/>
      </w:rPr>
      <w:t xml:space="preserve">σελίδα </w:t>
    </w:r>
    <w:r>
      <w:rPr>
        <w:rFonts w:ascii="Calibri" w:hAnsi="Calibri"/>
        <w:b w:val="0"/>
        <w:color w:val="808080"/>
        <w:sz w:val="16"/>
      </w:rPr>
      <w:fldChar w:fldCharType="begin"/>
    </w:r>
    <w:r>
      <w:rPr>
        <w:rFonts w:ascii="Calibri" w:hAnsi="Calibri"/>
        <w:b w:val="0"/>
        <w:color w:val="808080"/>
        <w:sz w:val="16"/>
      </w:rPr>
      <w:instrText>PAGE</w:instrText>
    </w:r>
    <w:r>
      <w:rPr>
        <w:rFonts w:ascii="Calibri" w:hAnsi="Calibri"/>
        <w:b w:val="0"/>
        <w:color w:val="808080"/>
        <w:sz w:val="16"/>
      </w:rPr>
      <w:fldChar w:fldCharType="separate"/>
    </w:r>
    <w:r>
      <w:rPr>
        <w:rFonts w:ascii="Calibri" w:hAnsi="Calibri"/>
        <w:b w:val="0"/>
        <w:color w:val="808080"/>
        <w:sz w:val="16"/>
      </w:rPr>
      <w:t>#</w:t>
    </w:r>
    <w:r>
      <w:rPr>
        <w:rFonts w:ascii="Calibri" w:hAnsi="Calibri"/>
        <w:b w:val="0"/>
        <w:color w:val="808080"/>
        <w:sz w:val="16"/>
      </w:rPr>
      <w:fldChar w:fldCharType="end"/>
    </w:r>
    <w:r>
      <w:rPr>
        <w:rFonts w:ascii="Calibri" w:hAnsi="Calibri"/>
        <w:b w:val="0"/>
        <w:color w:val="808080"/>
        <w:sz w:val="16"/>
      </w:rPr>
      <w:t xml:space="preserve"> από </w:t>
    </w:r>
    <w:r>
      <w:rPr>
        <w:rFonts w:ascii="Calibri" w:hAnsi="Calibri"/>
        <w:b w:val="0"/>
        <w:color w:val="808080"/>
        <w:sz w:val="16"/>
      </w:rPr>
      <w:fldChar w:fldCharType="begin"/>
    </w:r>
    <w:r>
      <w:rPr>
        <w:rFonts w:ascii="Calibri" w:hAnsi="Calibri"/>
        <w:b w:val="0"/>
        <w:color w:val="808080"/>
        <w:sz w:val="16"/>
      </w:rPr>
      <w:instrText>NUMPAGES</w:instrText>
    </w:r>
    <w:r>
      <w:rPr>
        <w:rFonts w:ascii="Calibri" w:hAnsi="Calibri"/>
        <w:b w:val="0"/>
        <w:color w:val="808080"/>
        <w:sz w:val="16"/>
      </w:rPr>
      <w:fldChar w:fldCharType="separate"/>
    </w:r>
    <w:r>
      <w:rPr>
        <w:rFonts w:ascii="Calibri" w:hAnsi="Calibri"/>
        <w:b w:val="0"/>
        <w:color w:val="808080"/>
        <w:sz w:val="16"/>
      </w:rPr>
      <w:t>#</w:t>
    </w:r>
    <w:r>
      <w:rPr>
        <w:rFonts w:ascii="Calibri" w:hAnsi="Calibri"/>
        <w:b w:val="0"/>
        <w:color w:val="808080"/>
        <w:sz w:val="16"/>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II.Διάγνωση Ισολογισμού</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III.Κρίσιμα Σημεία</w: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IV.Νεκρό Σημείο &amp; Ανάλ. Ευαισθ.</w:t>
    </w: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V.Αριθμοδείκτες</w:t>
    </w:r>
  </w:p>
</w:hdr>
</file>

<file path=word/header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VI.Εξέλιξη Ισολογισμού (Πλήρης)</w:t>
    </w:r>
  </w:p>
</w:hdr>
</file>

<file path=word/header6.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VII.Εξέλιξη Αποτ. Χρήσης (Πλήρης)</w:t>
    </w:r>
  </w:p>
</w:hdr>
</file>

<file path=word/header7.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VIII.Αριθμοδείκτες (Ποσά)</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Hdr5" Type="http://schemas.openxmlformats.org/officeDocument/2006/relationships/header" Target="header5.xml" /><Relationship Id="RelHdr6" Type="http://schemas.openxmlformats.org/officeDocument/2006/relationships/header" Target="header6.xml" /><Relationship Id="RelHdr7" Type="http://schemas.openxmlformats.org/officeDocument/2006/relationships/header" Target="header7.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